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91D81">
      <w:pPr>
        <w:rPr>
          <w:rFonts w:hint="eastAsia"/>
          <w:sz w:val="38"/>
        </w:rPr>
      </w:pPr>
    </w:p>
    <w:p w14:paraId="13C1DFE1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>电能质量在线监测装置</w:t>
      </w:r>
    </w:p>
    <w:p w14:paraId="2A05E875">
      <w:pPr>
        <w:jc w:val="center"/>
        <w:rPr>
          <w:rFonts w:ascii="昆仑楷体" w:eastAsia="昆仑楷体"/>
          <w:sz w:val="44"/>
        </w:rPr>
      </w:pPr>
    </w:p>
    <w:p w14:paraId="1A6EE4B7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>调试大纲及记录</w:t>
      </w:r>
    </w:p>
    <w:p w14:paraId="6E6EE25D">
      <w:pPr>
        <w:jc w:val="center"/>
        <w:rPr>
          <w:rFonts w:hint="eastAsia"/>
          <w:sz w:val="38"/>
        </w:rPr>
      </w:pPr>
    </w:p>
    <w:tbl>
      <w:tblPr>
        <w:tblStyle w:val="5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4B71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D1DD77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775209A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538B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991FED8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</w:t>
            </w:r>
            <w:r>
              <w:rPr>
                <w:rFonts w:hint="eastAsia"/>
                <w:sz w:val="38"/>
                <w:lang w:val="en-US" w:eastAsia="zh-CN"/>
              </w:rPr>
              <w:t>号</w:t>
            </w:r>
            <w:bookmarkStart w:id="4" w:name="_GoBack"/>
            <w:bookmarkEnd w:id="4"/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5E15D0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dev_serial"/>
            <w:bookmarkEnd w:id="1"/>
            <w:r>
              <w:rPr>
                <w:rFonts w:hint="eastAsia"/>
                <w:sz w:val="38"/>
                <w:lang w:val="en-US" w:eastAsia="zh-CN"/>
              </w:rPr>
              <w:t>${createId}</w:t>
            </w:r>
          </w:p>
        </w:tc>
      </w:tr>
    </w:tbl>
    <w:p w14:paraId="7E1E459D">
      <w:pPr>
        <w:rPr>
          <w:rFonts w:hint="eastAsia"/>
          <w:sz w:val="38"/>
        </w:rPr>
      </w:pPr>
    </w:p>
    <w:tbl>
      <w:tblPr>
        <w:tblStyle w:val="5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69B9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E8152AA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 xml:space="preserve">           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7569952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2B83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ADFA5E3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57B1D0BE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2BB4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2D3CA3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4D0691D">
            <w:pPr>
              <w:jc w:val="center"/>
              <w:rPr>
                <w:sz w:val="38"/>
              </w:rPr>
            </w:pPr>
          </w:p>
        </w:tc>
      </w:tr>
      <w:tr w14:paraId="71F3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356A552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3E51ABD">
            <w:pPr>
              <w:jc w:val="center"/>
              <w:rPr>
                <w:sz w:val="38"/>
              </w:rPr>
            </w:pPr>
          </w:p>
        </w:tc>
      </w:tr>
    </w:tbl>
    <w:p w14:paraId="5BF8BA2E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071FE240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25120C18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72042076">
      <w:pPr>
        <w:spacing w:line="360" w:lineRule="auto"/>
        <w:ind w:firstLine="420" w:firstLineChars="200"/>
        <w:rPr>
          <w:rFonts w:hint="eastAsia" w:ascii="宋体" w:hAnsi="宋体"/>
        </w:rPr>
      </w:pPr>
      <w:bookmarkStart w:id="3" w:name="_Hlk510668761"/>
      <w:r>
        <w:rPr>
          <w:rFonts w:hint="eastAsia" w:ascii="宋体" w:hAnsi="宋体"/>
        </w:rPr>
        <w:t>装置面板上有128X64蓝色液晶显示屏, 4个键盘及6个指示灯。正常运行时,装置运行灯闪烁(绿色)，暂态灯(黄色),越限灯(黄色),通信灯(黄色),备用灯(黄色)，以及告警灯(红色)则用来反映当时系统及装置的状况。</w:t>
      </w:r>
    </w:p>
    <w:p w14:paraId="4E81D22B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283C1B19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在开始调试之前，必须对机箱和每块板件进行电气上的初步检查。</w:t>
      </w:r>
    </w:p>
    <w:p w14:paraId="00BCE1BA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7D49EED2">
      <w:pPr>
        <w:spacing w:line="360" w:lineRule="auto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2.1.机箱外观检查</w:t>
      </w:r>
    </w:p>
    <w:p w14:paraId="593C73B6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b/>
        </w:rPr>
        <w:tab/>
      </w:r>
      <w:r>
        <w:rPr>
          <w:rFonts w:hint="eastAsia" w:ascii="宋体" w:hAnsi="宋体"/>
        </w:rPr>
        <w:t>应仔细检查机箱外观，机箱不应有变形和凹痕，机箱喷塑表面光洁度、塑面完整性检查，及前面板和上下盖板印字清晰度和正确性检查。检查结果填写下表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205"/>
        <w:gridCol w:w="2205"/>
        <w:gridCol w:w="2100"/>
      </w:tblGrid>
      <w:tr w14:paraId="41527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508" w:type="dxa"/>
            <w:gridSpan w:val="4"/>
            <w:noWrap w:val="0"/>
            <w:vAlign w:val="center"/>
          </w:tcPr>
          <w:p w14:paraId="468F91C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机箱外观检查卡</w:t>
            </w:r>
          </w:p>
        </w:tc>
      </w:tr>
      <w:tr w14:paraId="0D74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998" w:type="dxa"/>
            <w:noWrap w:val="0"/>
            <w:vAlign w:val="center"/>
          </w:tcPr>
          <w:p w14:paraId="0BF135F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4ABE888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机箱外观</w:t>
            </w:r>
          </w:p>
        </w:tc>
        <w:tc>
          <w:tcPr>
            <w:tcW w:w="2205" w:type="dxa"/>
            <w:noWrap w:val="0"/>
            <w:vAlign w:val="center"/>
          </w:tcPr>
          <w:p w14:paraId="138F200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喷塑检查</w:t>
            </w:r>
          </w:p>
        </w:tc>
        <w:tc>
          <w:tcPr>
            <w:tcW w:w="2100" w:type="dxa"/>
            <w:noWrap w:val="0"/>
            <w:vAlign w:val="center"/>
          </w:tcPr>
          <w:p w14:paraId="1EB815F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印字</w:t>
            </w:r>
          </w:p>
        </w:tc>
      </w:tr>
      <w:tr w14:paraId="7B60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998" w:type="dxa"/>
            <w:noWrap w:val="0"/>
            <w:vAlign w:val="center"/>
          </w:tcPr>
          <w:p w14:paraId="7934EAE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检查结果</w:t>
            </w:r>
          </w:p>
        </w:tc>
        <w:tc>
          <w:tcPr>
            <w:tcW w:w="2205" w:type="dxa"/>
            <w:noWrap w:val="0"/>
            <w:vAlign w:val="top"/>
          </w:tcPr>
          <w:p w14:paraId="56D87C9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2205" w:type="dxa"/>
            <w:noWrap w:val="0"/>
            <w:vAlign w:val="top"/>
          </w:tcPr>
          <w:p w14:paraId="09240B40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2100" w:type="dxa"/>
            <w:noWrap w:val="0"/>
            <w:vAlign w:val="top"/>
          </w:tcPr>
          <w:p w14:paraId="0CE6DF4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3AC90BEF">
      <w:pPr>
        <w:spacing w:line="360" w:lineRule="auto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2.2.板件表面检查</w:t>
      </w:r>
    </w:p>
    <w:p w14:paraId="3C5DF965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对所有板件进行仔细的观察和必要的测量。注意有无元器件的错焊或松动、脱落、虚焊的现象，连片是否正确短接或断开。检查完毕后，填写下表: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  <w:gridCol w:w="1702"/>
      </w:tblGrid>
      <w:tr w14:paraId="14D5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508" w:type="dxa"/>
            <w:gridSpan w:val="5"/>
            <w:noWrap w:val="0"/>
            <w:vAlign w:val="center"/>
          </w:tcPr>
          <w:p w14:paraId="76D9634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装置板件表面检查卡</w:t>
            </w:r>
          </w:p>
        </w:tc>
      </w:tr>
      <w:tr w14:paraId="2324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701" w:type="dxa"/>
            <w:noWrap w:val="0"/>
            <w:vAlign w:val="center"/>
          </w:tcPr>
          <w:p w14:paraId="364AF97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1DE289B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板件编码</w:t>
            </w:r>
          </w:p>
        </w:tc>
        <w:tc>
          <w:tcPr>
            <w:tcW w:w="1701" w:type="dxa"/>
            <w:noWrap w:val="0"/>
            <w:vAlign w:val="center"/>
          </w:tcPr>
          <w:p w14:paraId="3DFC041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板件装焊检查</w:t>
            </w:r>
          </w:p>
        </w:tc>
        <w:tc>
          <w:tcPr>
            <w:tcW w:w="1702" w:type="dxa"/>
            <w:noWrap w:val="0"/>
            <w:vAlign w:val="center"/>
          </w:tcPr>
          <w:p w14:paraId="0864D55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741D618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2552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701" w:type="dxa"/>
            <w:noWrap w:val="0"/>
            <w:vAlign w:val="center"/>
          </w:tcPr>
          <w:p w14:paraId="1FF0B0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载板</w:t>
            </w:r>
          </w:p>
        </w:tc>
        <w:tc>
          <w:tcPr>
            <w:tcW w:w="1702" w:type="dxa"/>
            <w:noWrap w:val="0"/>
            <w:vAlign w:val="top"/>
          </w:tcPr>
          <w:p w14:paraId="715DB7C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8B8D46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534C1EC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201DD27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7E44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701" w:type="dxa"/>
            <w:noWrap w:val="0"/>
            <w:vAlign w:val="center"/>
          </w:tcPr>
          <w:p w14:paraId="1907E51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面板</w:t>
            </w:r>
          </w:p>
        </w:tc>
        <w:tc>
          <w:tcPr>
            <w:tcW w:w="1702" w:type="dxa"/>
            <w:noWrap w:val="0"/>
            <w:vAlign w:val="top"/>
          </w:tcPr>
          <w:p w14:paraId="1645BD2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6F7F4C4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0102CDB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16BB54C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3138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701" w:type="dxa"/>
            <w:noWrap w:val="0"/>
            <w:vAlign w:val="center"/>
          </w:tcPr>
          <w:p w14:paraId="1FC8935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CPU子卡</w:t>
            </w:r>
          </w:p>
        </w:tc>
        <w:tc>
          <w:tcPr>
            <w:tcW w:w="1702" w:type="dxa"/>
            <w:noWrap w:val="0"/>
            <w:vAlign w:val="top"/>
          </w:tcPr>
          <w:p w14:paraId="237845C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0EF8008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252B860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1D75ABC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7C7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701" w:type="dxa"/>
            <w:noWrap w:val="0"/>
            <w:vAlign w:val="center"/>
          </w:tcPr>
          <w:p w14:paraId="596AB5E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后备电源板</w:t>
            </w:r>
          </w:p>
        </w:tc>
        <w:tc>
          <w:tcPr>
            <w:tcW w:w="1702" w:type="dxa"/>
            <w:noWrap w:val="0"/>
            <w:vAlign w:val="center"/>
          </w:tcPr>
          <w:p w14:paraId="2F6C5EE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\</w:t>
            </w:r>
          </w:p>
        </w:tc>
        <w:tc>
          <w:tcPr>
            <w:tcW w:w="1701" w:type="dxa"/>
            <w:noWrap w:val="0"/>
            <w:vAlign w:val="center"/>
          </w:tcPr>
          <w:p w14:paraId="714F7E8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\</w:t>
            </w:r>
          </w:p>
        </w:tc>
        <w:tc>
          <w:tcPr>
            <w:tcW w:w="1702" w:type="dxa"/>
            <w:noWrap w:val="0"/>
            <w:vAlign w:val="center"/>
          </w:tcPr>
          <w:p w14:paraId="2122FD9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\</w:t>
            </w:r>
          </w:p>
        </w:tc>
        <w:tc>
          <w:tcPr>
            <w:tcW w:w="1702" w:type="dxa"/>
            <w:noWrap w:val="0"/>
            <w:vAlign w:val="center"/>
          </w:tcPr>
          <w:p w14:paraId="6D29481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\</w:t>
            </w:r>
          </w:p>
        </w:tc>
      </w:tr>
    </w:tbl>
    <w:p w14:paraId="6E026F2D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该项检查通过后，将所有板件按照装配要求组装至机箱，所有连接件必须接插到位，紧固件必须紧固到位。</w:t>
      </w:r>
    </w:p>
    <w:p w14:paraId="59CDD0B4">
      <w:pPr>
        <w:spacing w:line="360" w:lineRule="auto"/>
        <w:rPr>
          <w:rFonts w:hint="eastAsia" w:ascii="宋体" w:hAnsi="宋体"/>
        </w:rPr>
      </w:pPr>
    </w:p>
    <w:p w14:paraId="5AC2E5FF">
      <w:pPr>
        <w:spacing w:line="360" w:lineRule="auto"/>
        <w:outlineLvl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2.3.绝缘耐压试验</w:t>
      </w:r>
    </w:p>
    <w:p w14:paraId="368F7B57">
      <w:pPr>
        <w:pStyle w:val="2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注意：绝缘耐压试验为破坏性试验，装置出厂前均已做过耐压试验，装置到现场后不必再做。</w:t>
      </w:r>
    </w:p>
    <w:p w14:paraId="752D059A">
      <w:pPr>
        <w:spacing w:line="360" w:lineRule="auto"/>
        <w:outlineLvl w:val="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2.3.1.绝缘试验</w:t>
      </w:r>
    </w:p>
    <w:p w14:paraId="1B8C4FF6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 20兆欧（其中“1”代表机壳）。</w:t>
      </w:r>
    </w:p>
    <w:tbl>
      <w:tblPr>
        <w:tblStyle w:val="5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228E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552" w:type="dxa"/>
            <w:noWrap w:val="0"/>
            <w:vAlign w:val="center"/>
          </w:tcPr>
          <w:p w14:paraId="1085027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04D562B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567FB7B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5315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552" w:type="dxa"/>
            <w:noWrap w:val="0"/>
            <w:vAlign w:val="center"/>
          </w:tcPr>
          <w:p w14:paraId="6D31B4F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19FC234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交流输入回路端子――1 </w:t>
            </w:r>
          </w:p>
        </w:tc>
        <w:tc>
          <w:tcPr>
            <w:tcW w:w="1506" w:type="dxa"/>
            <w:noWrap w:val="0"/>
            <w:vAlign w:val="center"/>
          </w:tcPr>
          <w:p w14:paraId="20BF400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7486D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552" w:type="dxa"/>
            <w:noWrap w:val="0"/>
            <w:vAlign w:val="center"/>
          </w:tcPr>
          <w:p w14:paraId="25FDF0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电源对地</w:t>
            </w:r>
          </w:p>
        </w:tc>
        <w:tc>
          <w:tcPr>
            <w:tcW w:w="4567" w:type="dxa"/>
            <w:noWrap w:val="0"/>
            <w:vAlign w:val="center"/>
          </w:tcPr>
          <w:p w14:paraId="4826D75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X401～X402――1</w:t>
            </w:r>
          </w:p>
        </w:tc>
        <w:tc>
          <w:tcPr>
            <w:tcW w:w="1506" w:type="dxa"/>
            <w:noWrap w:val="0"/>
            <w:vAlign w:val="top"/>
          </w:tcPr>
          <w:p w14:paraId="2FDFEAA1">
            <w:pPr>
              <w:jc w:val="center"/>
            </w:pPr>
            <w:r>
              <w:rPr>
                <w:rFonts w:hint="eastAsia" w:ascii="宋体" w:hAnsi="宋体"/>
              </w:rPr>
              <w:t>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0136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552" w:type="dxa"/>
            <w:noWrap w:val="0"/>
            <w:vAlign w:val="center"/>
          </w:tcPr>
          <w:p w14:paraId="7C403F9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开出节点对地</w:t>
            </w:r>
          </w:p>
        </w:tc>
        <w:tc>
          <w:tcPr>
            <w:tcW w:w="4567" w:type="dxa"/>
            <w:noWrap w:val="0"/>
            <w:vAlign w:val="center"/>
          </w:tcPr>
          <w:p w14:paraId="4AFF4E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X101～X105――1</w:t>
            </w:r>
          </w:p>
        </w:tc>
        <w:tc>
          <w:tcPr>
            <w:tcW w:w="1506" w:type="dxa"/>
            <w:noWrap w:val="0"/>
            <w:vAlign w:val="top"/>
          </w:tcPr>
          <w:p w14:paraId="2898CFF7">
            <w:pPr>
              <w:jc w:val="center"/>
            </w:pPr>
            <w:r>
              <w:rPr>
                <w:rFonts w:hint="eastAsia" w:ascii="宋体" w:hAnsi="宋体"/>
              </w:rPr>
              <w:t>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4EC3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552" w:type="dxa"/>
            <w:noWrap w:val="0"/>
            <w:vAlign w:val="center"/>
          </w:tcPr>
          <w:p w14:paraId="32189B7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开入节点对地</w:t>
            </w:r>
          </w:p>
        </w:tc>
        <w:tc>
          <w:tcPr>
            <w:tcW w:w="4567" w:type="dxa"/>
            <w:noWrap w:val="0"/>
            <w:vAlign w:val="center"/>
          </w:tcPr>
          <w:p w14:paraId="627A8ED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X302～X305――1</w:t>
            </w:r>
          </w:p>
        </w:tc>
        <w:tc>
          <w:tcPr>
            <w:tcW w:w="1506" w:type="dxa"/>
            <w:noWrap w:val="0"/>
            <w:vAlign w:val="top"/>
          </w:tcPr>
          <w:p w14:paraId="3DFA2CB5">
            <w:pPr>
              <w:jc w:val="center"/>
            </w:pPr>
            <w:r>
              <w:rPr>
                <w:rFonts w:hint="eastAsia" w:ascii="宋体" w:hAnsi="宋体"/>
              </w:rPr>
              <w:t>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</w:tbl>
    <w:p w14:paraId="64304291">
      <w:pPr>
        <w:spacing w:line="360" w:lineRule="auto"/>
        <w:outlineLvl w:val="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2.3.2.工频耐压试验（工频一分钟）</w:t>
      </w:r>
    </w:p>
    <w:p w14:paraId="3FCF4895">
      <w:pPr>
        <w:spacing w:line="360" w:lineRule="auto"/>
        <w:ind w:firstLine="422" w:firstLineChars="20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注意：做耐压试验前，必须将装置机箱上所有的紧固螺丝拧紧，保证其与外壳的可靠连接。另在调试过程中若更换板件，则必须对相应的项目重新做耐压试验.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3292"/>
        <w:gridCol w:w="1155"/>
        <w:gridCol w:w="872"/>
        <w:gridCol w:w="1353"/>
      </w:tblGrid>
      <w:tr w14:paraId="7A0A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56" w:type="dxa"/>
            <w:noWrap w:val="0"/>
            <w:vAlign w:val="center"/>
          </w:tcPr>
          <w:p w14:paraId="647CE43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292" w:type="dxa"/>
            <w:noWrap w:val="0"/>
            <w:vAlign w:val="center"/>
          </w:tcPr>
          <w:p w14:paraId="30FC107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155" w:type="dxa"/>
            <w:noWrap w:val="0"/>
            <w:vAlign w:val="center"/>
          </w:tcPr>
          <w:p w14:paraId="3D4622B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4BA256A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2A0C714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19419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56" w:type="dxa"/>
            <w:noWrap w:val="0"/>
            <w:vAlign w:val="center"/>
          </w:tcPr>
          <w:p w14:paraId="5AD20A4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292" w:type="dxa"/>
            <w:noWrap w:val="0"/>
            <w:vAlign w:val="center"/>
          </w:tcPr>
          <w:p w14:paraId="664381B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交流输入回路端子――1 </w:t>
            </w:r>
          </w:p>
        </w:tc>
        <w:tc>
          <w:tcPr>
            <w:tcW w:w="1155" w:type="dxa"/>
            <w:noWrap w:val="0"/>
            <w:vAlign w:val="center"/>
          </w:tcPr>
          <w:p w14:paraId="3FBFFF3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center"/>
          </w:tcPr>
          <w:p w14:paraId="1CF7600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6C5F45C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2FADC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856" w:type="dxa"/>
            <w:noWrap w:val="0"/>
            <w:vAlign w:val="center"/>
          </w:tcPr>
          <w:p w14:paraId="1852CB3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电源对地</w:t>
            </w:r>
          </w:p>
        </w:tc>
        <w:tc>
          <w:tcPr>
            <w:tcW w:w="3292" w:type="dxa"/>
            <w:noWrap w:val="0"/>
            <w:vAlign w:val="center"/>
          </w:tcPr>
          <w:p w14:paraId="49A2715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X401～X402――1</w:t>
            </w:r>
          </w:p>
        </w:tc>
        <w:tc>
          <w:tcPr>
            <w:tcW w:w="1155" w:type="dxa"/>
            <w:noWrap w:val="0"/>
            <w:vAlign w:val="center"/>
          </w:tcPr>
          <w:p w14:paraId="7E5B822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center"/>
          </w:tcPr>
          <w:p w14:paraId="3C603FB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7D725E7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6C95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856" w:type="dxa"/>
            <w:noWrap w:val="0"/>
            <w:vAlign w:val="center"/>
          </w:tcPr>
          <w:p w14:paraId="5DC1C7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开出节点对地</w:t>
            </w:r>
          </w:p>
        </w:tc>
        <w:tc>
          <w:tcPr>
            <w:tcW w:w="3292" w:type="dxa"/>
            <w:noWrap w:val="0"/>
            <w:vAlign w:val="center"/>
          </w:tcPr>
          <w:p w14:paraId="26A999E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X101～X105――1</w:t>
            </w:r>
          </w:p>
        </w:tc>
        <w:tc>
          <w:tcPr>
            <w:tcW w:w="1155" w:type="dxa"/>
            <w:noWrap w:val="0"/>
            <w:vAlign w:val="center"/>
          </w:tcPr>
          <w:p w14:paraId="19EF366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center"/>
          </w:tcPr>
          <w:p w14:paraId="0EECB9F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5B16425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3D10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856" w:type="dxa"/>
            <w:noWrap w:val="0"/>
            <w:vAlign w:val="center"/>
          </w:tcPr>
          <w:p w14:paraId="1E704AC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开入节点对地</w:t>
            </w:r>
          </w:p>
        </w:tc>
        <w:tc>
          <w:tcPr>
            <w:tcW w:w="3292" w:type="dxa"/>
            <w:noWrap w:val="0"/>
            <w:vAlign w:val="center"/>
          </w:tcPr>
          <w:p w14:paraId="56D4D36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X302～X305――1</w:t>
            </w:r>
          </w:p>
        </w:tc>
        <w:tc>
          <w:tcPr>
            <w:tcW w:w="1155" w:type="dxa"/>
            <w:noWrap w:val="0"/>
            <w:vAlign w:val="center"/>
          </w:tcPr>
          <w:p w14:paraId="657D037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center"/>
          </w:tcPr>
          <w:p w14:paraId="2511BD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6CA72A1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6FEF8BF5">
      <w:pPr>
        <w:spacing w:line="360" w:lineRule="auto"/>
        <w:rPr>
          <w:rFonts w:hint="eastAsia" w:ascii="宋体" w:hAnsi="宋体"/>
          <w:b/>
          <w:bCs/>
        </w:rPr>
      </w:pPr>
    </w:p>
    <w:p w14:paraId="6058B6AD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bookmarkEnd w:id="3"/>
    <w:p w14:paraId="709D57DB">
      <w:pPr>
        <w:spacing w:line="360" w:lineRule="auto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3.1.开出测试</w:t>
      </w:r>
    </w:p>
    <w:p w14:paraId="303167A4">
      <w:pPr>
        <w:spacing w:line="360" w:lineRule="auto"/>
        <w:ind w:firstLine="425"/>
        <w:rPr>
          <w:rFonts w:hint="eastAsia" w:ascii="宋体" w:hAnsi="宋体"/>
        </w:rPr>
      </w:pPr>
      <w:r>
        <w:rPr>
          <w:rFonts w:hint="eastAsia" w:ascii="宋体" w:hAnsi="宋体"/>
        </w:rPr>
        <w:t>进入“装置管理”菜单下的“开出测试”选项可进行装置的开出检查：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52"/>
        <w:gridCol w:w="735"/>
        <w:gridCol w:w="1021"/>
        <w:gridCol w:w="735"/>
        <w:gridCol w:w="315"/>
        <w:gridCol w:w="425"/>
        <w:gridCol w:w="1149"/>
        <w:gridCol w:w="729"/>
        <w:gridCol w:w="1021"/>
        <w:gridCol w:w="735"/>
      </w:tblGrid>
      <w:tr w14:paraId="7675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3" w:type="dxa"/>
            <w:gridSpan w:val="11"/>
            <w:noWrap w:val="0"/>
            <w:vAlign w:val="center"/>
          </w:tcPr>
          <w:p w14:paraId="7EEB3D96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装置开出检查卡</w:t>
            </w:r>
          </w:p>
        </w:tc>
      </w:tr>
      <w:tr w14:paraId="650F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4F02A22F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152" w:type="dxa"/>
            <w:noWrap w:val="0"/>
            <w:vAlign w:val="center"/>
          </w:tcPr>
          <w:p w14:paraId="4F68625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735" w:type="dxa"/>
            <w:noWrap w:val="0"/>
            <w:vAlign w:val="center"/>
          </w:tcPr>
          <w:p w14:paraId="7244AD72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</w:t>
            </w:r>
          </w:p>
          <w:p w14:paraId="3B996AA7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021" w:type="dxa"/>
            <w:noWrap w:val="0"/>
            <w:vAlign w:val="center"/>
          </w:tcPr>
          <w:p w14:paraId="53748DE7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</w:t>
            </w:r>
          </w:p>
          <w:p w14:paraId="11D1425F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状态</w:t>
            </w:r>
          </w:p>
        </w:tc>
        <w:tc>
          <w:tcPr>
            <w:tcW w:w="735" w:type="dxa"/>
            <w:noWrap w:val="0"/>
            <w:vAlign w:val="center"/>
          </w:tcPr>
          <w:p w14:paraId="52F05629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315" w:type="dxa"/>
            <w:vMerge w:val="restart"/>
            <w:noWrap w:val="0"/>
            <w:vAlign w:val="center"/>
          </w:tcPr>
          <w:p w14:paraId="43D4D543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425" w:type="dxa"/>
            <w:noWrap w:val="0"/>
            <w:vAlign w:val="center"/>
          </w:tcPr>
          <w:p w14:paraId="18301F3E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149" w:type="dxa"/>
            <w:noWrap w:val="0"/>
            <w:vAlign w:val="center"/>
          </w:tcPr>
          <w:p w14:paraId="7522FF59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729" w:type="dxa"/>
            <w:noWrap w:val="0"/>
            <w:vAlign w:val="center"/>
          </w:tcPr>
          <w:p w14:paraId="4D611C24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</w:t>
            </w:r>
          </w:p>
          <w:p w14:paraId="62BBF11D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021" w:type="dxa"/>
            <w:noWrap w:val="0"/>
            <w:vAlign w:val="center"/>
          </w:tcPr>
          <w:p w14:paraId="4E1A89D5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</w:t>
            </w:r>
          </w:p>
          <w:p w14:paraId="23F340D9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状态</w:t>
            </w:r>
          </w:p>
        </w:tc>
        <w:tc>
          <w:tcPr>
            <w:tcW w:w="735" w:type="dxa"/>
            <w:noWrap w:val="0"/>
            <w:vAlign w:val="center"/>
          </w:tcPr>
          <w:p w14:paraId="10DE78DD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2F47F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7211007B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152" w:type="dxa"/>
            <w:noWrap w:val="0"/>
            <w:vAlign w:val="center"/>
          </w:tcPr>
          <w:p w14:paraId="79785BBA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暂态信号</w:t>
            </w:r>
          </w:p>
        </w:tc>
        <w:tc>
          <w:tcPr>
            <w:tcW w:w="735" w:type="dxa"/>
            <w:noWrap w:val="0"/>
            <w:vAlign w:val="center"/>
          </w:tcPr>
          <w:p w14:paraId="3D008BF2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01</w:t>
            </w:r>
          </w:p>
        </w:tc>
        <w:tc>
          <w:tcPr>
            <w:tcW w:w="1021" w:type="dxa"/>
            <w:noWrap w:val="0"/>
            <w:vAlign w:val="center"/>
          </w:tcPr>
          <w:p w14:paraId="64CBAAAC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“暂态”</w:t>
            </w:r>
          </w:p>
          <w:p w14:paraId="4D60B106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灯亮</w:t>
            </w:r>
          </w:p>
        </w:tc>
        <w:tc>
          <w:tcPr>
            <w:tcW w:w="735" w:type="dxa"/>
            <w:noWrap w:val="0"/>
            <w:vAlign w:val="center"/>
          </w:tcPr>
          <w:p w14:paraId="6C389AFA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315" w:type="dxa"/>
            <w:vMerge w:val="continue"/>
            <w:noWrap w:val="0"/>
            <w:vAlign w:val="center"/>
          </w:tcPr>
          <w:p w14:paraId="08FA02B7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425" w:type="dxa"/>
            <w:noWrap w:val="0"/>
            <w:vAlign w:val="center"/>
          </w:tcPr>
          <w:p w14:paraId="20AF3EC0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149" w:type="dxa"/>
            <w:noWrap w:val="0"/>
            <w:vAlign w:val="center"/>
          </w:tcPr>
          <w:p w14:paraId="6978C7E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出口1</w:t>
            </w:r>
          </w:p>
        </w:tc>
        <w:tc>
          <w:tcPr>
            <w:tcW w:w="729" w:type="dxa"/>
            <w:noWrap w:val="0"/>
            <w:vAlign w:val="center"/>
          </w:tcPr>
          <w:p w14:paraId="3996DF47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06</w:t>
            </w:r>
          </w:p>
        </w:tc>
        <w:tc>
          <w:tcPr>
            <w:tcW w:w="1021" w:type="dxa"/>
            <w:noWrap w:val="0"/>
            <w:vAlign w:val="center"/>
          </w:tcPr>
          <w:p w14:paraId="1284747E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735" w:type="dxa"/>
            <w:noWrap w:val="0"/>
            <w:vAlign w:val="center"/>
          </w:tcPr>
          <w:p w14:paraId="3DAB12AF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5F43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3C1EAEC8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152" w:type="dxa"/>
            <w:noWrap w:val="0"/>
            <w:vAlign w:val="center"/>
          </w:tcPr>
          <w:p w14:paraId="4167D11C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越限信号</w:t>
            </w:r>
          </w:p>
        </w:tc>
        <w:tc>
          <w:tcPr>
            <w:tcW w:w="735" w:type="dxa"/>
            <w:noWrap w:val="0"/>
            <w:vAlign w:val="center"/>
          </w:tcPr>
          <w:p w14:paraId="259BC7C2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</w:t>
            </w:r>
          </w:p>
        </w:tc>
        <w:tc>
          <w:tcPr>
            <w:tcW w:w="1021" w:type="dxa"/>
            <w:noWrap w:val="0"/>
            <w:vAlign w:val="center"/>
          </w:tcPr>
          <w:p w14:paraId="73D5DC22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“越限”</w:t>
            </w:r>
          </w:p>
          <w:p w14:paraId="3C6102F6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灯亮</w:t>
            </w:r>
          </w:p>
        </w:tc>
        <w:tc>
          <w:tcPr>
            <w:tcW w:w="735" w:type="dxa"/>
            <w:noWrap w:val="0"/>
            <w:vAlign w:val="center"/>
          </w:tcPr>
          <w:p w14:paraId="6B2CBC5C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315" w:type="dxa"/>
            <w:vMerge w:val="continue"/>
            <w:noWrap w:val="0"/>
            <w:vAlign w:val="center"/>
          </w:tcPr>
          <w:p w14:paraId="4B5B57EE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425" w:type="dxa"/>
            <w:noWrap w:val="0"/>
            <w:vAlign w:val="center"/>
          </w:tcPr>
          <w:p w14:paraId="5424D077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149" w:type="dxa"/>
            <w:noWrap w:val="0"/>
            <w:vAlign w:val="center"/>
          </w:tcPr>
          <w:p w14:paraId="3E6C64C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出口2</w:t>
            </w:r>
          </w:p>
        </w:tc>
        <w:tc>
          <w:tcPr>
            <w:tcW w:w="729" w:type="dxa"/>
            <w:noWrap w:val="0"/>
            <w:vAlign w:val="center"/>
          </w:tcPr>
          <w:p w14:paraId="7EE513E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07</w:t>
            </w:r>
          </w:p>
        </w:tc>
        <w:tc>
          <w:tcPr>
            <w:tcW w:w="1021" w:type="dxa"/>
            <w:noWrap w:val="0"/>
            <w:vAlign w:val="center"/>
          </w:tcPr>
          <w:p w14:paraId="78664F2A">
            <w:pPr>
              <w:jc w:val="center"/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735" w:type="dxa"/>
            <w:noWrap w:val="0"/>
            <w:vAlign w:val="center"/>
          </w:tcPr>
          <w:p w14:paraId="08BE4AA0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5F99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46BC8B5A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152" w:type="dxa"/>
            <w:noWrap w:val="0"/>
            <w:vAlign w:val="center"/>
          </w:tcPr>
          <w:p w14:paraId="0548D2FE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通讯信号</w:t>
            </w:r>
          </w:p>
        </w:tc>
        <w:tc>
          <w:tcPr>
            <w:tcW w:w="735" w:type="dxa"/>
            <w:noWrap w:val="0"/>
            <w:vAlign w:val="center"/>
          </w:tcPr>
          <w:p w14:paraId="70514005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03</w:t>
            </w:r>
          </w:p>
        </w:tc>
        <w:tc>
          <w:tcPr>
            <w:tcW w:w="1021" w:type="dxa"/>
            <w:noWrap w:val="0"/>
            <w:vAlign w:val="center"/>
          </w:tcPr>
          <w:p w14:paraId="06A51686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“通讯”</w:t>
            </w:r>
          </w:p>
          <w:p w14:paraId="2EF9C824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灯亮</w:t>
            </w:r>
          </w:p>
        </w:tc>
        <w:tc>
          <w:tcPr>
            <w:tcW w:w="735" w:type="dxa"/>
            <w:noWrap w:val="0"/>
            <w:vAlign w:val="center"/>
          </w:tcPr>
          <w:p w14:paraId="74B4B67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315" w:type="dxa"/>
            <w:vMerge w:val="continue"/>
            <w:noWrap w:val="0"/>
            <w:vAlign w:val="center"/>
          </w:tcPr>
          <w:p w14:paraId="5D55BA61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425" w:type="dxa"/>
            <w:noWrap w:val="0"/>
            <w:vAlign w:val="center"/>
          </w:tcPr>
          <w:p w14:paraId="1E4FC6C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149" w:type="dxa"/>
            <w:noWrap w:val="0"/>
            <w:vAlign w:val="center"/>
          </w:tcPr>
          <w:p w14:paraId="08FF6BC8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出口3</w:t>
            </w:r>
          </w:p>
        </w:tc>
        <w:tc>
          <w:tcPr>
            <w:tcW w:w="729" w:type="dxa"/>
            <w:noWrap w:val="0"/>
            <w:vAlign w:val="center"/>
          </w:tcPr>
          <w:p w14:paraId="2DE79CAC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08</w:t>
            </w:r>
          </w:p>
        </w:tc>
        <w:tc>
          <w:tcPr>
            <w:tcW w:w="1021" w:type="dxa"/>
            <w:noWrap w:val="0"/>
            <w:vAlign w:val="center"/>
          </w:tcPr>
          <w:p w14:paraId="4D1C281F">
            <w:pPr>
              <w:jc w:val="center"/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735" w:type="dxa"/>
            <w:noWrap w:val="0"/>
            <w:vAlign w:val="center"/>
          </w:tcPr>
          <w:p w14:paraId="2D258EBD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6C4E0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1C9E9471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152" w:type="dxa"/>
            <w:noWrap w:val="0"/>
            <w:vAlign w:val="center"/>
          </w:tcPr>
          <w:p w14:paraId="350E14B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备用信号</w:t>
            </w:r>
          </w:p>
        </w:tc>
        <w:tc>
          <w:tcPr>
            <w:tcW w:w="735" w:type="dxa"/>
            <w:noWrap w:val="0"/>
            <w:vAlign w:val="center"/>
          </w:tcPr>
          <w:p w14:paraId="11DE821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04</w:t>
            </w:r>
          </w:p>
        </w:tc>
        <w:tc>
          <w:tcPr>
            <w:tcW w:w="1021" w:type="dxa"/>
            <w:noWrap w:val="0"/>
            <w:vAlign w:val="center"/>
          </w:tcPr>
          <w:p w14:paraId="014CB9E9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“备用”</w:t>
            </w:r>
          </w:p>
          <w:p w14:paraId="1C25176E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灯亮</w:t>
            </w:r>
          </w:p>
        </w:tc>
        <w:tc>
          <w:tcPr>
            <w:tcW w:w="735" w:type="dxa"/>
            <w:noWrap w:val="0"/>
            <w:vAlign w:val="center"/>
          </w:tcPr>
          <w:p w14:paraId="2DEE2A7A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315" w:type="dxa"/>
            <w:vMerge w:val="continue"/>
            <w:noWrap w:val="0"/>
            <w:vAlign w:val="center"/>
          </w:tcPr>
          <w:p w14:paraId="22CEBCB1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425" w:type="dxa"/>
            <w:noWrap w:val="0"/>
            <w:vAlign w:val="center"/>
          </w:tcPr>
          <w:p w14:paraId="75391E6E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149" w:type="dxa"/>
            <w:noWrap w:val="0"/>
            <w:vAlign w:val="center"/>
          </w:tcPr>
          <w:p w14:paraId="762AB87F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出口4</w:t>
            </w:r>
          </w:p>
        </w:tc>
        <w:tc>
          <w:tcPr>
            <w:tcW w:w="729" w:type="dxa"/>
            <w:noWrap w:val="0"/>
            <w:vAlign w:val="center"/>
          </w:tcPr>
          <w:p w14:paraId="7A6E586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09</w:t>
            </w:r>
          </w:p>
        </w:tc>
        <w:tc>
          <w:tcPr>
            <w:tcW w:w="1021" w:type="dxa"/>
            <w:noWrap w:val="0"/>
            <w:vAlign w:val="center"/>
          </w:tcPr>
          <w:p w14:paraId="430EC6CB">
            <w:pPr>
              <w:jc w:val="center"/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735" w:type="dxa"/>
            <w:noWrap w:val="0"/>
            <w:vAlign w:val="center"/>
          </w:tcPr>
          <w:p w14:paraId="79C5B4D7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D56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5721CC8A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152" w:type="dxa"/>
            <w:noWrap w:val="0"/>
            <w:vAlign w:val="center"/>
          </w:tcPr>
          <w:p w14:paraId="1AD68ADF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告警信号</w:t>
            </w:r>
          </w:p>
        </w:tc>
        <w:tc>
          <w:tcPr>
            <w:tcW w:w="735" w:type="dxa"/>
            <w:noWrap w:val="0"/>
            <w:vAlign w:val="center"/>
          </w:tcPr>
          <w:p w14:paraId="1872EFC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05</w:t>
            </w:r>
          </w:p>
        </w:tc>
        <w:tc>
          <w:tcPr>
            <w:tcW w:w="1021" w:type="dxa"/>
            <w:noWrap w:val="0"/>
            <w:vAlign w:val="center"/>
          </w:tcPr>
          <w:p w14:paraId="570A46C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“告警”</w:t>
            </w:r>
          </w:p>
          <w:p w14:paraId="1F09712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灯亮</w:t>
            </w:r>
          </w:p>
        </w:tc>
        <w:tc>
          <w:tcPr>
            <w:tcW w:w="735" w:type="dxa"/>
            <w:noWrap w:val="0"/>
            <w:vAlign w:val="center"/>
          </w:tcPr>
          <w:p w14:paraId="0B29EFF7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315" w:type="dxa"/>
            <w:vMerge w:val="continue"/>
            <w:noWrap w:val="0"/>
            <w:vAlign w:val="center"/>
          </w:tcPr>
          <w:p w14:paraId="42B38ADC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425" w:type="dxa"/>
            <w:noWrap w:val="0"/>
            <w:vAlign w:val="center"/>
          </w:tcPr>
          <w:p w14:paraId="678726C3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55A1CB9F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9" w:type="dxa"/>
            <w:noWrap w:val="0"/>
            <w:vAlign w:val="center"/>
          </w:tcPr>
          <w:p w14:paraId="68901DC6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638E7FEE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C82A969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</w:tbl>
    <w:p w14:paraId="51845A27">
      <w:pPr>
        <w:spacing w:line="360" w:lineRule="auto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3.2.开入测试</w:t>
      </w:r>
    </w:p>
    <w:p w14:paraId="27C64E34">
      <w:pPr>
        <w:spacing w:line="360" w:lineRule="auto"/>
        <w:ind w:firstLine="425"/>
        <w:rPr>
          <w:rFonts w:hint="eastAsia" w:ascii="宋体" w:hAnsi="宋体"/>
        </w:rPr>
      </w:pPr>
      <w:r>
        <w:rPr>
          <w:rFonts w:hint="eastAsia" w:ascii="宋体" w:hAnsi="宋体"/>
        </w:rPr>
        <w:t>要求：将装置的开入电源“24V+”分别点开入端子，进入“装置管理”菜单下的“开出测试”选项可进行装置的开出检查：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701"/>
        <w:gridCol w:w="2278"/>
        <w:gridCol w:w="2268"/>
        <w:gridCol w:w="1134"/>
      </w:tblGrid>
      <w:tr w14:paraId="13181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119" w:type="dxa"/>
            <w:gridSpan w:val="5"/>
            <w:noWrap w:val="0"/>
            <w:vAlign w:val="center"/>
          </w:tcPr>
          <w:p w14:paraId="2CA97046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装置开入检查卡</w:t>
            </w:r>
          </w:p>
        </w:tc>
      </w:tr>
      <w:tr w14:paraId="175ED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38" w:type="dxa"/>
            <w:noWrap w:val="0"/>
            <w:vAlign w:val="center"/>
          </w:tcPr>
          <w:p w14:paraId="2F972E94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 w14:paraId="66775022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2278" w:type="dxa"/>
            <w:noWrap w:val="0"/>
            <w:vAlign w:val="center"/>
          </w:tcPr>
          <w:p w14:paraId="667385E6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2268" w:type="dxa"/>
            <w:noWrap w:val="0"/>
            <w:vAlign w:val="center"/>
          </w:tcPr>
          <w:p w14:paraId="41930AA1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1134" w:type="dxa"/>
            <w:noWrap w:val="0"/>
            <w:vAlign w:val="center"/>
          </w:tcPr>
          <w:p w14:paraId="27551B96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7598C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38" w:type="dxa"/>
            <w:noWrap w:val="0"/>
            <w:vAlign w:val="center"/>
          </w:tcPr>
          <w:p w14:paraId="35D3A8B2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1AC90104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2278" w:type="dxa"/>
            <w:noWrap w:val="0"/>
            <w:vAlign w:val="center"/>
          </w:tcPr>
          <w:p w14:paraId="03C96B3B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2268" w:type="dxa"/>
            <w:noWrap w:val="0"/>
            <w:vAlign w:val="center"/>
          </w:tcPr>
          <w:p w14:paraId="4B8505DB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1134" w:type="dxa"/>
            <w:noWrap w:val="0"/>
            <w:vAlign w:val="center"/>
          </w:tcPr>
          <w:p w14:paraId="10533740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3D997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38" w:type="dxa"/>
            <w:noWrap w:val="0"/>
            <w:vAlign w:val="center"/>
          </w:tcPr>
          <w:p w14:paraId="4776738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701" w:type="dxa"/>
            <w:noWrap w:val="0"/>
            <w:vAlign w:val="center"/>
          </w:tcPr>
          <w:p w14:paraId="0712D632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2278" w:type="dxa"/>
            <w:noWrap w:val="0"/>
            <w:vAlign w:val="center"/>
          </w:tcPr>
          <w:p w14:paraId="03AE7ADF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2268" w:type="dxa"/>
            <w:noWrap w:val="0"/>
            <w:vAlign w:val="center"/>
          </w:tcPr>
          <w:p w14:paraId="5054FB5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1134" w:type="dxa"/>
            <w:noWrap w:val="0"/>
            <w:vAlign w:val="center"/>
          </w:tcPr>
          <w:p w14:paraId="01F4F42A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6F8D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38" w:type="dxa"/>
            <w:noWrap w:val="0"/>
            <w:vAlign w:val="center"/>
          </w:tcPr>
          <w:p w14:paraId="7BD3C39E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701" w:type="dxa"/>
            <w:noWrap w:val="0"/>
            <w:vAlign w:val="center"/>
          </w:tcPr>
          <w:p w14:paraId="1372363A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2278" w:type="dxa"/>
            <w:noWrap w:val="0"/>
            <w:vAlign w:val="center"/>
          </w:tcPr>
          <w:p w14:paraId="7DE298E7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2268" w:type="dxa"/>
            <w:noWrap w:val="0"/>
            <w:vAlign w:val="center"/>
          </w:tcPr>
          <w:p w14:paraId="3D5E4132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1134" w:type="dxa"/>
            <w:noWrap w:val="0"/>
            <w:vAlign w:val="center"/>
          </w:tcPr>
          <w:p w14:paraId="0D94A13F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E270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38" w:type="dxa"/>
            <w:noWrap w:val="0"/>
            <w:vAlign w:val="center"/>
          </w:tcPr>
          <w:p w14:paraId="47C9678E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701" w:type="dxa"/>
            <w:noWrap w:val="0"/>
            <w:vAlign w:val="center"/>
          </w:tcPr>
          <w:p w14:paraId="47B89A98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2278" w:type="dxa"/>
            <w:noWrap w:val="0"/>
            <w:vAlign w:val="center"/>
          </w:tcPr>
          <w:p w14:paraId="3E3697BD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2268" w:type="dxa"/>
            <w:noWrap w:val="0"/>
            <w:vAlign w:val="center"/>
          </w:tcPr>
          <w:p w14:paraId="2AEBDB97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1134" w:type="dxa"/>
            <w:noWrap w:val="0"/>
            <w:vAlign w:val="center"/>
          </w:tcPr>
          <w:p w14:paraId="2D896445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3FD35B26">
      <w:pPr>
        <w:spacing w:line="360" w:lineRule="auto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2A1B839B">
      <w:pPr>
        <w:spacing w:line="360" w:lineRule="auto"/>
        <w:ind w:left="-105" w:firstLine="105" w:firstLineChars="50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3.3.1.电压（电流）有效值检查（数据见附表）</w:t>
      </w:r>
      <w:r>
        <w:rPr>
          <w:rFonts w:hint="eastAsia" w:ascii="宋体" w:hAnsi="宋体"/>
        </w:rPr>
        <w:t>（误差小于0.1％）。</w:t>
      </w:r>
    </w:p>
    <w:p w14:paraId="4CB07277">
      <w:pPr>
        <w:spacing w:line="360" w:lineRule="auto"/>
        <w:ind w:firstLine="425"/>
        <w:rPr>
          <w:rFonts w:hint="eastAsia" w:ascii="宋体" w:hAnsi="宋体"/>
        </w:rPr>
      </w:pPr>
      <w:r>
        <w:rPr>
          <w:rFonts w:hint="eastAsia" w:ascii="宋体" w:hAnsi="宋体"/>
        </w:rPr>
        <w:t>按要求加测试量，用面板</w:t>
      </w:r>
      <w:r>
        <w:rPr>
          <w:rFonts w:hint="eastAsia" w:ascii="宋体" w:hAnsi="宋体"/>
          <w:bCs/>
        </w:rPr>
        <w:t>“实时数据”菜单，分别检查</w:t>
      </w:r>
      <w:r>
        <w:rPr>
          <w:rFonts w:hint="eastAsia" w:ascii="宋体" w:hAnsi="宋体"/>
        </w:rPr>
        <w:t>回路电压（电流）是否符合要求。</w:t>
      </w:r>
    </w:p>
    <w:p w14:paraId="554D8CD2">
      <w:pPr>
        <w:spacing w:line="360" w:lineRule="auto"/>
        <w:ind w:firstLine="425"/>
        <w:rPr>
          <w:rFonts w:hint="eastAsia" w:ascii="宋体" w:hAnsi="宋体"/>
          <w:b/>
        </w:rPr>
      </w:pPr>
      <w:r>
        <w:rPr>
          <w:rFonts w:hint="eastAsia" w:ascii="宋体" w:hAnsi="宋体"/>
        </w:rPr>
        <w:t>说明：对于NPQS-581型产品有电流采集回路，需要做电流有效值检查；其他没有电流采集回路的产品不需要做电流有效值检查。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4AC54D23">
      <w:pPr>
        <w:spacing w:line="360" w:lineRule="auto"/>
        <w:ind w:left="-105" w:firstLine="105" w:firstLineChars="50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</w:rPr>
        <w:t>(误差小于0.2％)。</w:t>
      </w:r>
    </w:p>
    <w:p w14:paraId="2F250F01">
      <w:pPr>
        <w:spacing w:line="360" w:lineRule="auto"/>
        <w:ind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“实时数据”菜单，检查</w:t>
      </w:r>
      <w:r>
        <w:rPr>
          <w:rFonts w:hint="eastAsia" w:ascii="宋体" w:hAnsi="宋体"/>
        </w:rPr>
        <w:t xml:space="preserve">装置电压偏差：                          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C992EA4">
      <w:pPr>
        <w:spacing w:line="360" w:lineRule="auto"/>
        <w:ind w:left="-105" w:firstLine="105" w:firstLineChars="50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  <w:b/>
        </w:rPr>
        <w:t>。</w:t>
      </w:r>
    </w:p>
    <w:p w14:paraId="7904CCB5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“实时数据”菜单检查</w:t>
      </w:r>
      <w:r>
        <w:rPr>
          <w:rFonts w:hint="eastAsia" w:ascii="宋体" w:hAnsi="宋体"/>
        </w:rPr>
        <w:t xml:space="preserve">装置电压不平衡度：                    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 xml:space="preserve"> √</w:t>
      </w:r>
      <w:r>
        <w:rPr>
          <w:rFonts w:hint="eastAsia" w:ascii="宋体" w:hAnsi="宋体"/>
          <w:b/>
        </w:rPr>
        <w:t>）</w:t>
      </w:r>
    </w:p>
    <w:p w14:paraId="5EC4FC48">
      <w:pPr>
        <w:spacing w:line="360" w:lineRule="auto"/>
        <w:ind w:left="-105" w:firstLine="105" w:firstLineChars="50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3.3.4.谐波测量检查（数据见附表）</w:t>
      </w:r>
      <w:r>
        <w:rPr>
          <w:rFonts w:hint="eastAsia" w:ascii="宋体" w:hAnsi="宋体"/>
          <w:bCs/>
        </w:rPr>
        <w:t>(电压误差小于</w:t>
      </w:r>
      <w:r>
        <w:rPr>
          <w:rFonts w:hint="eastAsia" w:ascii="宋体" w:hAnsi="宋体"/>
        </w:rPr>
        <w:t>0.05％UN，</w:t>
      </w:r>
      <w:r>
        <w:rPr>
          <w:rFonts w:hint="eastAsia" w:ascii="宋体" w:hAnsi="宋体"/>
          <w:bCs/>
        </w:rPr>
        <w:t>电流误差小于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  <w:b/>
        </w:rPr>
        <w:t>。</w:t>
      </w:r>
    </w:p>
    <w:p w14:paraId="4B5DDD7A">
      <w:pPr>
        <w:spacing w:line="360" w:lineRule="auto"/>
        <w:ind w:firstLine="420" w:firstLineChars="200"/>
        <w:rPr>
          <w:rFonts w:hint="eastAsia" w:ascii="宋体" w:hAnsi="宋体"/>
          <w:color w:val="FF0000"/>
        </w:rPr>
      </w:pPr>
      <w:r>
        <w:rPr>
          <w:rFonts w:hint="eastAsia" w:ascii="宋体" w:hAnsi="宋体"/>
          <w:bCs/>
        </w:rPr>
        <w:t>按附表中要求施加电压电流</w:t>
      </w:r>
      <w:r>
        <w:rPr>
          <w:rFonts w:hint="eastAsia" w:ascii="宋体" w:hAnsi="宋体"/>
        </w:rPr>
        <w:t>加入信号。用客户端</w:t>
      </w:r>
      <w:r>
        <w:rPr>
          <w:rFonts w:hint="eastAsia" w:ascii="宋体" w:hAnsi="宋体"/>
          <w:bCs/>
        </w:rPr>
        <w:t>“谐波数据”菜单检查</w:t>
      </w:r>
      <w:r>
        <w:rPr>
          <w:rFonts w:hint="eastAsia" w:ascii="宋体" w:hAnsi="宋体"/>
        </w:rPr>
        <w:t>装置的谐波测量：</w:t>
      </w:r>
    </w:p>
    <w:p w14:paraId="7CFC3A37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                                                </w:t>
      </w:r>
      <w:r>
        <w:rPr>
          <w:rFonts w:hint="eastAsia" w:ascii="宋体" w:hAnsi="宋体"/>
          <w:b/>
        </w:rPr>
        <w:tab/>
      </w:r>
      <w:r>
        <w:rPr>
          <w:rFonts w:hint="eastAsia" w:ascii="宋体" w:hAnsi="宋体"/>
          <w:b/>
        </w:rPr>
        <w:tab/>
      </w:r>
      <w:r>
        <w:rPr>
          <w:rFonts w:hint="eastAsia" w:ascii="宋体" w:hAnsi="宋体"/>
          <w:b/>
        </w:rPr>
        <w:tab/>
      </w:r>
      <w:r>
        <w:rPr>
          <w:rFonts w:hint="eastAsia" w:ascii="宋体" w:hAnsi="宋体"/>
          <w:b/>
        </w:rPr>
        <w:t xml:space="preserve"> 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412D0EA3">
      <w:pPr>
        <w:spacing w:line="360" w:lineRule="auto"/>
        <w:ind w:left="-105" w:firstLine="105" w:firstLineChars="50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</w:rPr>
        <w:t>(误差小于0.005 Hz)。</w:t>
      </w:r>
    </w:p>
    <w:p w14:paraId="6FA51F78">
      <w:pPr>
        <w:spacing w:line="360" w:lineRule="auto"/>
        <w:ind w:firstLine="210" w:firstLineChars="1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“实时数据”菜单检查装置频率</w:t>
      </w:r>
      <w:r>
        <w:rPr>
          <w:rFonts w:hint="eastAsia" w:ascii="宋体" w:hAnsi="宋体"/>
        </w:rPr>
        <w:t>是：</w:t>
      </w:r>
    </w:p>
    <w:p w14:paraId="5E6AA3D9">
      <w:pPr>
        <w:spacing w:line="360" w:lineRule="auto"/>
        <w:ind w:left="415" w:right="-88" w:firstLine="5125" w:firstLineChars="2431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 xml:space="preserve"> √</w:t>
      </w:r>
      <w:r>
        <w:rPr>
          <w:rFonts w:hint="eastAsia" w:ascii="宋体" w:hAnsi="宋体"/>
          <w:b/>
        </w:rPr>
        <w:t>）</w:t>
      </w:r>
    </w:p>
    <w:p w14:paraId="3A128C58">
      <w:pPr>
        <w:spacing w:line="360" w:lineRule="auto"/>
        <w:ind w:left="-105" w:firstLine="105" w:firstLineChars="50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3.3.6.间谐波测量检查（数据见附表）</w:t>
      </w:r>
      <w:r>
        <w:rPr>
          <w:rFonts w:hint="eastAsia" w:ascii="宋体" w:hAnsi="宋体"/>
        </w:rPr>
        <w:t>(电压误差小于0.05％UN，电流误差小于0.15％IN)。</w:t>
      </w:r>
    </w:p>
    <w:p w14:paraId="72738EE4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  <w:bCs/>
        </w:rPr>
        <w:t>按附表中要求施加电压电流</w:t>
      </w:r>
      <w:r>
        <w:rPr>
          <w:rFonts w:hint="eastAsia" w:ascii="宋体" w:hAnsi="宋体"/>
        </w:rPr>
        <w:t>信号。用客户端</w:t>
      </w:r>
      <w:r>
        <w:rPr>
          <w:rFonts w:hint="eastAsia" w:ascii="宋体" w:hAnsi="宋体"/>
          <w:bCs/>
        </w:rPr>
        <w:t>“间谐波数据”菜单检查</w:t>
      </w:r>
      <w:r>
        <w:rPr>
          <w:rFonts w:hint="eastAsia" w:ascii="宋体" w:hAnsi="宋体"/>
        </w:rPr>
        <w:t>装置的间谐波测量：</w:t>
      </w:r>
    </w:p>
    <w:p w14:paraId="1D8AE519">
      <w:pPr>
        <w:spacing w:line="360" w:lineRule="auto"/>
        <w:ind w:firstLine="425"/>
        <w:rPr>
          <w:rFonts w:hint="eastAsia" w:ascii="宋体" w:hAnsi="宋体"/>
        </w:rPr>
      </w:pPr>
      <w:r>
        <w:rPr>
          <w:rFonts w:hint="eastAsia" w:ascii="宋体" w:hAnsi="宋体"/>
        </w:rPr>
        <w:t>说明：对于NPQS-581型产品有电流采集回路，需要做间谐波电流检查；其他没有电流采集回路的产品不需要做间谐波电流检查。</w:t>
      </w:r>
    </w:p>
    <w:p w14:paraId="63C2B22D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                                                </w:t>
      </w:r>
      <w:r>
        <w:rPr>
          <w:rFonts w:hint="eastAsia" w:ascii="宋体" w:hAnsi="宋体"/>
          <w:b/>
        </w:rPr>
        <w:tab/>
      </w:r>
      <w:r>
        <w:rPr>
          <w:rFonts w:hint="eastAsia" w:ascii="宋体" w:hAnsi="宋体"/>
          <w:b/>
        </w:rPr>
        <w:tab/>
      </w:r>
      <w:r>
        <w:rPr>
          <w:rFonts w:hint="eastAsia" w:ascii="宋体" w:hAnsi="宋体"/>
          <w:b/>
        </w:rPr>
        <w:tab/>
      </w:r>
      <w:r>
        <w:rPr>
          <w:rFonts w:hint="eastAsia" w:ascii="宋体" w:hAnsi="宋体"/>
          <w:b/>
        </w:rPr>
        <w:t xml:space="preserve"> 整项检查是否合格（</w:t>
      </w:r>
      <w:r>
        <w:rPr>
          <w:rFonts w:hint="eastAsia" w:ascii="宋体" w:hAnsi="宋体"/>
        </w:rPr>
        <w:t xml:space="preserve"> √</w:t>
      </w:r>
      <w:r>
        <w:rPr>
          <w:rFonts w:hint="eastAsia" w:ascii="宋体" w:hAnsi="宋体"/>
          <w:b/>
        </w:rPr>
        <w:t>）</w:t>
      </w:r>
    </w:p>
    <w:p w14:paraId="4E5B53BE">
      <w:pPr>
        <w:spacing w:line="360" w:lineRule="auto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1683A6D6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将装置的以太网口和计算机的网口通过网络线连接，在计算机上使用“ping”命令对装置的以太网进行检查，装置的以太网地址默认为“192.168.1.200”。根据检查结果填写下表。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6820"/>
      </w:tblGrid>
      <w:tr w14:paraId="0816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8417" w:type="dxa"/>
            <w:gridSpan w:val="2"/>
            <w:noWrap w:val="0"/>
            <w:vAlign w:val="center"/>
          </w:tcPr>
          <w:p w14:paraId="6F13B8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7DA2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597" w:type="dxa"/>
            <w:noWrap w:val="0"/>
            <w:vAlign w:val="center"/>
          </w:tcPr>
          <w:p w14:paraId="2D7F96D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6820" w:type="dxa"/>
            <w:noWrap w:val="0"/>
            <w:vAlign w:val="center"/>
          </w:tcPr>
          <w:p w14:paraId="2F96136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</w:t>
            </w:r>
          </w:p>
        </w:tc>
      </w:tr>
      <w:tr w14:paraId="61CC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597" w:type="dxa"/>
            <w:noWrap w:val="0"/>
            <w:vAlign w:val="center"/>
          </w:tcPr>
          <w:p w14:paraId="721212D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6820" w:type="dxa"/>
            <w:noWrap w:val="0"/>
            <w:vAlign w:val="center"/>
          </w:tcPr>
          <w:p w14:paraId="4542665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45099820">
      <w:pPr>
        <w:spacing w:line="360" w:lineRule="auto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3.5.USB接口检查</w:t>
      </w:r>
    </w:p>
    <w:p w14:paraId="058CCAB0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从装置的USB接口接入USB存储器，使用“装置管理-系统控制”中的拷贝命令将相应的文件拷贝到USB存储器中，拔出USB存储器，查看存储器中所拷贝的文件是否正常。</w:t>
      </w:r>
    </w:p>
    <w:p w14:paraId="46CE9A31">
      <w:pPr>
        <w:spacing w:line="360" w:lineRule="auto"/>
        <w:ind w:left="415" w:right="-88" w:firstLine="5125" w:firstLineChars="2431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28B1C969">
      <w:pPr>
        <w:spacing w:line="360" w:lineRule="auto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3.6.历史事件记录情况检查</w:t>
      </w:r>
    </w:p>
    <w:p w14:paraId="629B3270">
      <w:pPr>
        <w:spacing w:line="360" w:lineRule="auto"/>
        <w:ind w:firstLine="42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用测试仪做电压跌落试验，在“事件记录”菜单项中，查阅装置事件记录是否增长，事件记录内容是否正确，波形文件中是否有录波波形文件。</w:t>
      </w:r>
    </w:p>
    <w:p w14:paraId="1007E0D4">
      <w:pPr>
        <w:spacing w:line="360" w:lineRule="auto"/>
        <w:ind w:firstLine="42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</w:p>
    <w:p w14:paraId="1808C220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7EFBC7E6">
      <w:pPr>
        <w:spacing w:line="360" w:lineRule="auto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3.7．装置通电老化</w:t>
      </w:r>
    </w:p>
    <w:p w14:paraId="7CF837F4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常温下不少于100小时或40度不少于72小时的通电老化。通电老化过程中及完成后，要注意观察装置运行状态。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0F5A4D7F">
      <w:pPr>
        <w:spacing w:line="360" w:lineRule="auto"/>
        <w:rPr>
          <w:rFonts w:hint="eastAsia" w:ascii="宋体" w:hAnsi="宋体"/>
          <w:b/>
          <w:bCs/>
        </w:rPr>
      </w:pPr>
    </w:p>
    <w:p w14:paraId="6E4056E9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3803F060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4176"/>
      </w:tblGrid>
      <w:tr w14:paraId="20A5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0" w:type="dxa"/>
            <w:noWrap w:val="0"/>
            <w:vAlign w:val="center"/>
          </w:tcPr>
          <w:p w14:paraId="3C042A4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应用软件版本号</w:t>
            </w:r>
          </w:p>
        </w:tc>
        <w:tc>
          <w:tcPr>
            <w:tcW w:w="4176" w:type="dxa"/>
            <w:noWrap w:val="0"/>
            <w:vAlign w:val="center"/>
          </w:tcPr>
          <w:p w14:paraId="522CED0D">
            <w:pPr>
              <w:jc w:val="center"/>
              <w:rPr>
                <w:rFonts w:hint="eastAsia" w:ascii="宋体" w:hAnsi="宋体"/>
                <w:b/>
              </w:rPr>
            </w:pPr>
          </w:p>
        </w:tc>
      </w:tr>
      <w:tr w14:paraId="193B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940" w:type="dxa"/>
            <w:noWrap w:val="0"/>
            <w:vAlign w:val="center"/>
          </w:tcPr>
          <w:p w14:paraId="7165695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BOOT版本号</w:t>
            </w:r>
          </w:p>
        </w:tc>
        <w:tc>
          <w:tcPr>
            <w:tcW w:w="4176" w:type="dxa"/>
            <w:noWrap w:val="0"/>
            <w:vAlign w:val="center"/>
          </w:tcPr>
          <w:p w14:paraId="04655890">
            <w:pPr>
              <w:jc w:val="center"/>
              <w:rPr>
                <w:rFonts w:hint="eastAsia" w:ascii="宋体" w:hAnsi="宋体"/>
                <w:b/>
              </w:rPr>
            </w:pPr>
          </w:p>
        </w:tc>
      </w:tr>
      <w:tr w14:paraId="7AA5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940" w:type="dxa"/>
            <w:noWrap w:val="0"/>
            <w:vAlign w:val="center"/>
          </w:tcPr>
          <w:p w14:paraId="3F6DC91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CPLD版本号</w:t>
            </w:r>
          </w:p>
        </w:tc>
        <w:tc>
          <w:tcPr>
            <w:tcW w:w="4176" w:type="dxa"/>
            <w:noWrap w:val="0"/>
            <w:vAlign w:val="center"/>
          </w:tcPr>
          <w:p w14:paraId="1A957BBA">
            <w:pPr>
              <w:jc w:val="center"/>
              <w:rPr>
                <w:rFonts w:hint="eastAsia" w:ascii="宋体" w:hAnsi="宋体"/>
                <w:b/>
              </w:rPr>
            </w:pPr>
          </w:p>
        </w:tc>
      </w:tr>
    </w:tbl>
    <w:p w14:paraId="2A171C50">
      <w:pPr>
        <w:spacing w:line="360" w:lineRule="auto"/>
        <w:rPr>
          <w:rFonts w:hint="eastAsia" w:ascii="宋体" w:hAnsi="宋体"/>
          <w:b/>
          <w:bCs/>
        </w:rPr>
      </w:pPr>
    </w:p>
    <w:p w14:paraId="00998FF2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06C4B9F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03DE6E2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60A2244F"/>
    <w:p w14:paraId="03C4B435"/>
    <w:p w14:paraId="45DCF758"/>
    <w:p w14:paraId="65EC1FAF"/>
    <w:p w14:paraId="07389F54"/>
    <w:p w14:paraId="263F0586"/>
    <w:p w14:paraId="0A223F17"/>
    <w:p w14:paraId="36B48D1B"/>
    <w:p w14:paraId="41787D3B"/>
    <w:p w14:paraId="737794CA"/>
    <w:p w14:paraId="1015F2FF"/>
    <w:p w14:paraId="4EF899DF"/>
    <w:p w14:paraId="290067F7"/>
    <w:p w14:paraId="77DBA569"/>
    <w:p w14:paraId="168CFFFD"/>
    <w:p w14:paraId="69DB84E8"/>
    <w:p w14:paraId="456F0FB0"/>
    <w:p w14:paraId="2609A222"/>
    <w:p w14:paraId="675E2B06"/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3E18C">
    <w:pPr>
      <w:pStyle w:val="3"/>
      <w:framePr w:wrap="around" w:vAnchor="text" w:hAnchor="margin" w:xAlign="center" w:y="1"/>
      <w:jc w:val="center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 w14:paraId="714E691F">
    <w:pPr>
      <w:pStyle w:val="3"/>
      <w:framePr w:wrap="around" w:vAnchor="text" w:hAnchor="margin" w:xAlign="center" w:y="1"/>
      <w:rPr>
        <w:rStyle w:val="7"/>
      </w:rPr>
    </w:pPr>
  </w:p>
  <w:p w14:paraId="00626BC1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B014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5DDC989C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5727F">
    <w:pPr>
      <w:pStyle w:val="3"/>
      <w:framePr w:wrap="around" w:vAnchor="text" w:hAnchor="margin" w:xAlign="center" w:y="1"/>
      <w:jc w:val="center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647A83DD">
    <w:pPr>
      <w:pStyle w:val="3"/>
      <w:framePr w:wrap="around" w:vAnchor="text" w:hAnchor="margin" w:xAlign="center" w:y="1"/>
      <w:rPr>
        <w:rStyle w:val="7"/>
      </w:rPr>
    </w:pPr>
  </w:p>
  <w:p w14:paraId="72D6E62A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35C0"/>
    <w:rsid w:val="01D46072"/>
    <w:rsid w:val="044D11B2"/>
    <w:rsid w:val="052E3AB6"/>
    <w:rsid w:val="060610AB"/>
    <w:rsid w:val="07BB12ED"/>
    <w:rsid w:val="084C69F1"/>
    <w:rsid w:val="08660E97"/>
    <w:rsid w:val="0FAF78D1"/>
    <w:rsid w:val="262958AD"/>
    <w:rsid w:val="27F65D16"/>
    <w:rsid w:val="28F60FCD"/>
    <w:rsid w:val="34AE07E1"/>
    <w:rsid w:val="35CC5E47"/>
    <w:rsid w:val="375D38D6"/>
    <w:rsid w:val="3D8E3A72"/>
    <w:rsid w:val="42753440"/>
    <w:rsid w:val="441D7DC3"/>
    <w:rsid w:val="4E626420"/>
    <w:rsid w:val="4F217C2D"/>
    <w:rsid w:val="513C641F"/>
    <w:rsid w:val="5E9F742E"/>
    <w:rsid w:val="64CC1176"/>
    <w:rsid w:val="65F209F1"/>
    <w:rsid w:val="6FDE77C3"/>
    <w:rsid w:val="75D658F5"/>
    <w:rsid w:val="76F93003"/>
    <w:rsid w:val="7E3037AE"/>
    <w:rsid w:val="7F16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2103</Words>
  <Characters>2380</Characters>
  <Lines>0</Lines>
  <Paragraphs>0</Paragraphs>
  <TotalTime>0</TotalTime>
  <ScaleCrop>false</ScaleCrop>
  <LinksUpToDate>false</LinksUpToDate>
  <CharactersWithSpaces>2717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2025-02-13T07:04:00Z</dcterms:created>
  <dc:creator>hongawen</dc:creator>
  <cp:lastModifiedBy>ccvv</cp:lastModifiedBy>
  <dcterms:modified xsi:type="dcterms:W3CDTF">2025-12-19T08:15:57Z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F6072F2BE5AF42618BF4AA4352822BB1_12</vt:lpwstr>
  </property>
</Properties>
</file>