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061AA">
      <w:pPr>
        <w:jc w:val="center"/>
        <w:rPr>
          <w:rFonts w:hint="eastAsia"/>
          <w:sz w:val="38"/>
        </w:rPr>
      </w:pPr>
    </w:p>
    <w:p w14:paraId="1534B90C">
      <w:pPr>
        <w:jc w:val="center"/>
        <w:rPr>
          <w:rFonts w:hint="eastAsia"/>
          <w:sz w:val="38"/>
        </w:rPr>
      </w:pPr>
    </w:p>
    <w:p w14:paraId="534C09EE">
      <w:pPr>
        <w:jc w:val="center"/>
        <w:outlineLvl w:val="0"/>
        <w:rPr>
          <w:rFonts w:hint="eastAsia" w:ascii="昆仑楷体" w:eastAsia="昆仑楷体"/>
          <w:b/>
          <w:sz w:val="44"/>
        </w:rPr>
      </w:pPr>
      <w:r>
        <w:rPr>
          <w:rFonts w:hint="eastAsia"/>
          <w:b/>
          <w:sz w:val="38"/>
        </w:rPr>
        <w:t>PQV-700</w:t>
      </w:r>
    </w:p>
    <w:p w14:paraId="63D75621">
      <w:pPr>
        <w:jc w:val="center"/>
        <w:outlineLvl w:val="0"/>
        <w:rPr>
          <w:rFonts w:ascii="昆仑楷体" w:eastAsia="昆仑楷体"/>
          <w:sz w:val="44"/>
        </w:rPr>
      </w:pPr>
      <w:r>
        <w:rPr>
          <w:rFonts w:hint="eastAsia" w:ascii="昆仑楷体" w:eastAsia="昆仑楷体"/>
          <w:sz w:val="44"/>
        </w:rPr>
        <w:t>手持式电能质量监测分析仪</w:t>
      </w:r>
    </w:p>
    <w:p w14:paraId="680B5E0C">
      <w:pPr>
        <w:jc w:val="center"/>
        <w:rPr>
          <w:sz w:val="38"/>
        </w:rPr>
      </w:pPr>
    </w:p>
    <w:p w14:paraId="455B1382">
      <w:pPr>
        <w:jc w:val="center"/>
        <w:rPr>
          <w:rFonts w:hint="eastAsia" w:ascii="昆仑楷体" w:eastAsia="昆仑楷体"/>
          <w:sz w:val="48"/>
        </w:rPr>
      </w:pPr>
      <w:r>
        <w:rPr>
          <w:rFonts w:hint="eastAsia" w:ascii="昆仑楷体" w:eastAsia="昆仑楷体"/>
          <w:sz w:val="52"/>
        </w:rPr>
        <w:t>调试大纲及记录</w:t>
      </w:r>
    </w:p>
    <w:p w14:paraId="71E72648">
      <w:pPr>
        <w:rPr>
          <w:sz w:val="38"/>
        </w:rPr>
      </w:pPr>
    </w:p>
    <w:tbl>
      <w:tblPr>
        <w:tblStyle w:val="5"/>
        <w:tblW w:w="0" w:type="auto"/>
        <w:tblInd w:w="1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118"/>
      </w:tblGrid>
      <w:tr w14:paraId="45AE3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4589F51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装置型号: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14C223B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0" w:name="dev_type"/>
            <w:bookmarkEnd w:id="0"/>
            <w:r>
              <w:rPr>
                <w:rFonts w:hint="eastAsia"/>
                <w:sz w:val="38"/>
                <w:lang w:val="en-US" w:eastAsia="zh-CN"/>
              </w:rPr>
              <w:t>${devType}</w:t>
            </w:r>
          </w:p>
        </w:tc>
      </w:tr>
      <w:tr w14:paraId="5453A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9601792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调试人员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68E4CC2A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1" w:name="chk_user"/>
            <w:bookmarkEnd w:id="1"/>
            <w:r>
              <w:rPr>
                <w:rFonts w:hint="eastAsia"/>
                <w:sz w:val="38"/>
                <w:lang w:val="en-US" w:eastAsia="zh-CN"/>
              </w:rPr>
              <w:t>${inspector}</w:t>
            </w:r>
          </w:p>
        </w:tc>
      </w:tr>
      <w:tr w14:paraId="156D6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00B229D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调试日期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5375442E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2" w:name="chk_time"/>
            <w:bookmarkEnd w:id="2"/>
            <w:r>
              <w:rPr>
                <w:rFonts w:hint="eastAsia"/>
                <w:sz w:val="38"/>
                <w:lang w:val="en-US" w:eastAsia="zh-CN"/>
              </w:rPr>
              <w:t>${testDate}</w:t>
            </w:r>
          </w:p>
        </w:tc>
      </w:tr>
      <w:tr w14:paraId="61BA9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77B6E86">
            <w:pPr>
              <w:rPr>
                <w:sz w:val="38"/>
                <w:u w:val="single"/>
              </w:rPr>
            </w:pPr>
            <w:r>
              <w:rPr>
                <w:rFonts w:hint="eastAsia"/>
                <w:sz w:val="38"/>
              </w:rPr>
              <w:t>检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验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55C1BE23">
            <w:pPr>
              <w:jc w:val="center"/>
              <w:rPr>
                <w:sz w:val="38"/>
              </w:rPr>
            </w:pPr>
          </w:p>
        </w:tc>
      </w:tr>
      <w:tr w14:paraId="1DE76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2BD1C0F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检验日期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0B9CDA33">
            <w:pPr>
              <w:jc w:val="center"/>
              <w:rPr>
                <w:sz w:val="38"/>
              </w:rPr>
            </w:pPr>
          </w:p>
        </w:tc>
      </w:tr>
      <w:tr w14:paraId="7CD20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99F6253">
            <w:pPr>
              <w:rPr>
                <w:rFonts w:hint="eastAsia"/>
                <w:sz w:val="3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7DB54933">
            <w:pPr>
              <w:jc w:val="center"/>
              <w:rPr>
                <w:sz w:val="38"/>
              </w:rPr>
            </w:pPr>
          </w:p>
        </w:tc>
      </w:tr>
      <w:tr w14:paraId="6763C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27ECC0E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装置编</w:t>
            </w:r>
            <w:r>
              <w:rPr>
                <w:rFonts w:hint="eastAsia"/>
                <w:sz w:val="38"/>
                <w:lang w:val="en-US" w:eastAsia="zh-CN"/>
              </w:rPr>
              <w:t>号</w:t>
            </w:r>
            <w:bookmarkStart w:id="8" w:name="_GoBack"/>
            <w:bookmarkEnd w:id="8"/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01CC0496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3" w:name="dev_serial"/>
            <w:bookmarkEnd w:id="3"/>
            <w:r>
              <w:rPr>
                <w:rFonts w:hint="eastAsia"/>
                <w:sz w:val="38"/>
                <w:lang w:val="en-US" w:eastAsia="zh-CN"/>
              </w:rPr>
              <w:t>${createId}</w:t>
            </w:r>
          </w:p>
        </w:tc>
      </w:tr>
      <w:tr w14:paraId="5927F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4962411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工作电源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7917A76F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4" w:name="work_volt"/>
            <w:bookmarkEnd w:id="4"/>
            <w:r>
              <w:rPr>
                <w:rFonts w:hint="eastAsia"/>
                <w:sz w:val="36"/>
                <w:szCs w:val="18"/>
                <w:lang w:val="en-US" w:eastAsia="zh-CN"/>
              </w:rPr>
              <w:t>${power}</w:t>
            </w:r>
          </w:p>
        </w:tc>
      </w:tr>
      <w:tr w14:paraId="485A9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F7EF99A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额定电流: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052FB8AC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5" w:name="dev_curr"/>
            <w:bookmarkEnd w:id="5"/>
            <w:r>
              <w:rPr>
                <w:rFonts w:hint="eastAsia"/>
                <w:sz w:val="38"/>
                <w:lang w:val="en-US" w:eastAsia="zh-CN"/>
              </w:rPr>
              <w:t>1A/5A</w:t>
            </w:r>
          </w:p>
        </w:tc>
      </w:tr>
      <w:tr w14:paraId="17859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133D766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额定电压: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72409435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6" w:name="dev_volt"/>
            <w:bookmarkEnd w:id="6"/>
            <w:r>
              <w:rPr>
                <w:rFonts w:hint="eastAsia"/>
                <w:sz w:val="38"/>
                <w:lang w:val="en-US" w:eastAsia="zh-CN"/>
              </w:rPr>
              <w:t>57.74V/相</w:t>
            </w:r>
          </w:p>
        </w:tc>
      </w:tr>
    </w:tbl>
    <w:p w14:paraId="53B72289">
      <w:pPr>
        <w:rPr>
          <w:rFonts w:hint="eastAsia"/>
          <w:sz w:val="38"/>
        </w:rPr>
      </w:pPr>
    </w:p>
    <w:p w14:paraId="18BA1917">
      <w:pPr>
        <w:rPr>
          <w:rFonts w:hint="eastAsia"/>
          <w:sz w:val="38"/>
        </w:rPr>
      </w:pPr>
    </w:p>
    <w:p w14:paraId="562A443F">
      <w:pPr>
        <w:rPr>
          <w:rFonts w:hint="eastAsia"/>
          <w:sz w:val="38"/>
        </w:rPr>
      </w:pPr>
    </w:p>
    <w:p w14:paraId="36B6B79E">
      <w:pPr>
        <w:rPr>
          <w:rFonts w:hint="eastAsia"/>
          <w:sz w:val="38"/>
        </w:rPr>
      </w:pPr>
    </w:p>
    <w:p w14:paraId="1A08253B">
      <w:pPr>
        <w:jc w:val="center"/>
        <w:rPr>
          <w:rFonts w:hint="eastAsia"/>
          <w:sz w:val="38"/>
        </w:rPr>
      </w:pPr>
      <w:r>
        <w:rPr>
          <w:rFonts w:hint="eastAsia" w:ascii="昆仑楷体" w:eastAsia="昆仑楷体"/>
          <w:sz w:val="44"/>
        </w:rPr>
        <w:t>南京灿能电力自动化股份有限公司</w:t>
      </w:r>
    </w:p>
    <w:p w14:paraId="5BF8BA2E">
      <w:pPr>
        <w:rPr>
          <w:rFonts w:hint="eastAsia" w:ascii="昆仑楷体" w:eastAsia="昆仑楷体"/>
          <w:sz w:val="44"/>
        </w:rPr>
      </w:pPr>
    </w:p>
    <w:p w14:paraId="071FE240">
      <w:pPr>
        <w:jc w:val="both"/>
        <w:rPr>
          <w:rFonts w:ascii="宋体" w:hAnsi="宋体"/>
          <w:b/>
          <w:sz w:val="28"/>
        </w:rPr>
        <w:sectPr>
          <w:footerReference r:id="rId3" w:type="default"/>
          <w:footerReference r:id="rId4" w:type="even"/>
          <w:pgSz w:w="11906" w:h="16838"/>
          <w:pgMar w:top="624" w:right="1797" w:bottom="624" w:left="1797" w:header="0" w:footer="0" w:gutter="0"/>
          <w:cols w:space="720" w:num="1"/>
          <w:titlePg/>
          <w:docGrid w:type="lines" w:linePitch="312" w:charSpace="0"/>
        </w:sectPr>
      </w:pPr>
    </w:p>
    <w:p w14:paraId="25120C18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装置结构简介</w:t>
      </w:r>
    </w:p>
    <w:p w14:paraId="6F7F6F92">
      <w:pPr>
        <w:spacing w:line="360" w:lineRule="auto"/>
        <w:ind w:left="-3" w:firstLine="426" w:firstLineChars="203"/>
        <w:rPr>
          <w:rFonts w:hint="eastAsia" w:ascii="宋体" w:hAnsi="宋体"/>
        </w:rPr>
      </w:pPr>
      <w:bookmarkStart w:id="7" w:name="_Hlk510668761"/>
      <w:r>
        <w:rPr>
          <w:rFonts w:hint="eastAsia" w:ascii="宋体" w:hAnsi="宋体"/>
        </w:rPr>
        <w:t>PQV-700手持式电能质量分析仪在外观设计上，采用了仪表式结构设计，造型美观坚固、小巧。分析仪在电压、电流的输入回路接口设计上，考虑到可能出现的“误插”，电压和电流输入回路采取了完全不同的接口。电压回路采用常规的圆形插孔的接口，电流回路采用射频同轴电缆插头的接口，可完全避免电压、电流回路的“误插”造成分析仪损坏。</w:t>
      </w:r>
    </w:p>
    <w:p w14:paraId="5B403878">
      <w:pPr>
        <w:spacing w:line="360" w:lineRule="auto"/>
        <w:ind w:left="-3" w:firstLine="426" w:firstLineChars="203"/>
        <w:rPr>
          <w:rFonts w:hint="eastAsia" w:ascii="宋体" w:hAnsi="宋体"/>
        </w:rPr>
      </w:pPr>
      <w:r>
        <w:rPr>
          <w:rFonts w:hint="eastAsia" w:ascii="宋体" w:hAnsi="宋体"/>
        </w:rPr>
        <w:t>PQV-700手持式电能质量分析仪在电气设计上，采用通常仪器仪表的整体化设计模式，考虑到生产、调试、使用、维护的方便性，同时着重考虑了电磁兼容（EMC）和可靠性的要求。所有功能插件均在装置内部固定，对外只有相应端子引出，一体化结构紧凑便携，分析仪使用时还可以横放和竖放。分析仪内部采用软连接和硬连接结合的方式，提高了分析仪的机械性能（碰撞、冲击、振动），降低了运输、搬运过程造成分析仪损坏的概率。具体电压电流信号通道请参看分析仪背板标示及说明书。</w:t>
      </w:r>
    </w:p>
    <w:p w14:paraId="7E89B80F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 xml:space="preserve">人机对话操作 </w:t>
      </w:r>
    </w:p>
    <w:p w14:paraId="76D69877">
      <w:pPr>
        <w:spacing w:line="360" w:lineRule="auto"/>
        <w:ind w:left="-3" w:firstLine="426" w:firstLineChars="203"/>
        <w:rPr>
          <w:rFonts w:hint="eastAsia" w:ascii="宋体" w:hAnsi="宋体"/>
        </w:rPr>
      </w:pPr>
      <w:r>
        <w:rPr>
          <w:rFonts w:hint="eastAsia" w:ascii="宋体" w:hAnsi="宋体"/>
        </w:rPr>
        <w:t>装置新增了液晶面板，可在液晶面板上进行记录启停操作以及相关配置，同时也可以采用以太网登陆WEB进行配置。双通道分析仪面板上配置6路交流电压、6路交流电流钳输入通道和8个指示灯。</w:t>
      </w:r>
    </w:p>
    <w:p w14:paraId="4E81D22B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装置电气检查</w:t>
      </w:r>
    </w:p>
    <w:p w14:paraId="13406564">
      <w:pPr>
        <w:spacing w:line="360" w:lineRule="auto"/>
        <w:ind w:left="-3" w:firstLine="426" w:firstLineChars="203"/>
        <w:rPr>
          <w:rFonts w:hint="eastAsia" w:ascii="宋体" w:hAnsi="宋体"/>
        </w:rPr>
      </w:pPr>
      <w:r>
        <w:rPr>
          <w:rFonts w:hint="eastAsia" w:ascii="宋体" w:hAnsi="宋体"/>
        </w:rPr>
        <w:t>在开始调试之前，必须对机箱和各个插件进行电气上的初步检查，以减少电气调试的工作量，同时也可以避免由于电气上的错误而导致元器件的损坏。</w:t>
      </w:r>
    </w:p>
    <w:p w14:paraId="32C582E4">
      <w:pPr>
        <w:spacing w:line="360" w:lineRule="auto"/>
        <w:ind w:left="-3" w:firstLine="426" w:firstLineChars="203"/>
        <w:rPr>
          <w:rFonts w:hint="eastAsia" w:ascii="宋体" w:hAnsi="宋体"/>
        </w:rPr>
      </w:pPr>
      <w:r>
        <w:rPr>
          <w:rFonts w:hint="eastAsia" w:ascii="宋体" w:hAnsi="宋体"/>
        </w:rPr>
        <w:t>以下各种检查符合要求的打“√”，不符合要求的打“╳”，此型号不具备的打“/”。</w:t>
      </w:r>
    </w:p>
    <w:bookmarkEnd w:id="7"/>
    <w:p w14:paraId="195F79BF">
      <w:pPr>
        <w:spacing w:line="360" w:lineRule="auto"/>
        <w:outlineLvl w:val="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3.1.插件表面检查</w:t>
      </w:r>
    </w:p>
    <w:p w14:paraId="564AB405">
      <w:pPr>
        <w:spacing w:line="360" w:lineRule="auto"/>
        <w:ind w:firstLine="240" w:firstLineChars="100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对所有即将插入机箱中的插件进行仔细的观察和必要的测量。注意有无元器件的错焊或松动、脱落、虚焊的现象，连片是否正确短接或断开。检查完毕后，填写下表:</w:t>
      </w:r>
      <w:r>
        <w:rPr>
          <w:rFonts w:hint="eastAsia" w:ascii="宋体" w:hAnsi="宋体"/>
          <w:b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785"/>
        <w:gridCol w:w="892"/>
        <w:gridCol w:w="893"/>
        <w:gridCol w:w="892"/>
        <w:gridCol w:w="893"/>
        <w:gridCol w:w="1155"/>
      </w:tblGrid>
      <w:tr w14:paraId="67B77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8" w:type="dxa"/>
            <w:gridSpan w:val="7"/>
            <w:noWrap w:val="0"/>
            <w:vAlign w:val="center"/>
          </w:tcPr>
          <w:p w14:paraId="6C32D65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装置插件表面检查卡</w:t>
            </w:r>
          </w:p>
        </w:tc>
      </w:tr>
      <w:tr w14:paraId="7A78A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noWrap w:val="0"/>
            <w:vAlign w:val="center"/>
          </w:tcPr>
          <w:p w14:paraId="1DB4E1F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元器件名称</w:t>
            </w:r>
          </w:p>
        </w:tc>
        <w:tc>
          <w:tcPr>
            <w:tcW w:w="1785" w:type="dxa"/>
            <w:noWrap w:val="0"/>
            <w:vAlign w:val="center"/>
          </w:tcPr>
          <w:p w14:paraId="0F714BC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插件编码</w:t>
            </w:r>
          </w:p>
        </w:tc>
        <w:tc>
          <w:tcPr>
            <w:tcW w:w="892" w:type="dxa"/>
            <w:noWrap w:val="0"/>
            <w:vAlign w:val="center"/>
          </w:tcPr>
          <w:p w14:paraId="276A918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漏焊</w:t>
            </w:r>
          </w:p>
        </w:tc>
        <w:tc>
          <w:tcPr>
            <w:tcW w:w="893" w:type="dxa"/>
            <w:noWrap w:val="0"/>
            <w:vAlign w:val="center"/>
          </w:tcPr>
          <w:p w14:paraId="1491A00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错焊</w:t>
            </w:r>
          </w:p>
        </w:tc>
        <w:tc>
          <w:tcPr>
            <w:tcW w:w="892" w:type="dxa"/>
            <w:noWrap w:val="0"/>
            <w:vAlign w:val="center"/>
          </w:tcPr>
          <w:p w14:paraId="277B97C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虚焊</w:t>
            </w:r>
          </w:p>
        </w:tc>
        <w:tc>
          <w:tcPr>
            <w:tcW w:w="893" w:type="dxa"/>
            <w:noWrap w:val="0"/>
            <w:vAlign w:val="center"/>
          </w:tcPr>
          <w:p w14:paraId="4F75650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断线</w:t>
            </w:r>
          </w:p>
        </w:tc>
        <w:tc>
          <w:tcPr>
            <w:tcW w:w="1155" w:type="dxa"/>
            <w:noWrap w:val="0"/>
            <w:vAlign w:val="center"/>
          </w:tcPr>
          <w:p w14:paraId="18D2BDF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</w:tr>
      <w:tr w14:paraId="4DA67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noWrap w:val="0"/>
            <w:vAlign w:val="center"/>
          </w:tcPr>
          <w:p w14:paraId="7516AAF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4G/GPS插件</w:t>
            </w:r>
          </w:p>
        </w:tc>
        <w:tc>
          <w:tcPr>
            <w:tcW w:w="1785" w:type="dxa"/>
            <w:noWrap w:val="0"/>
            <w:vAlign w:val="center"/>
          </w:tcPr>
          <w:p w14:paraId="7F4C649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\</w:t>
            </w:r>
          </w:p>
        </w:tc>
        <w:tc>
          <w:tcPr>
            <w:tcW w:w="892" w:type="dxa"/>
            <w:noWrap w:val="0"/>
            <w:vAlign w:val="top"/>
          </w:tcPr>
          <w:p w14:paraId="1F78107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893" w:type="dxa"/>
            <w:noWrap w:val="0"/>
            <w:vAlign w:val="top"/>
          </w:tcPr>
          <w:p w14:paraId="6BF8559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892" w:type="dxa"/>
            <w:noWrap w:val="0"/>
            <w:vAlign w:val="top"/>
          </w:tcPr>
          <w:p w14:paraId="124F7F2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893" w:type="dxa"/>
            <w:noWrap w:val="0"/>
            <w:vAlign w:val="top"/>
          </w:tcPr>
          <w:p w14:paraId="5E8A7AA5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155" w:type="dxa"/>
            <w:noWrap w:val="0"/>
            <w:vAlign w:val="top"/>
          </w:tcPr>
          <w:p w14:paraId="2C9C255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1E998635"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</w:rPr>
        <w:t>3.2.绝缘耐压试验</w:t>
      </w:r>
    </w:p>
    <w:p w14:paraId="23AC3EBD">
      <w:pPr>
        <w:pStyle w:val="2"/>
        <w:ind w:firstLine="42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注意：绝缘耐压试验为破坏性试验，本装置在出厂前均已做过绝缘耐压试验，装置到现场后不必再做。</w:t>
      </w:r>
    </w:p>
    <w:p w14:paraId="411F78B3">
      <w:pPr>
        <w:spacing w:line="360" w:lineRule="auto"/>
        <w:outlineLvl w:val="0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3.2.1.绝缘试验</w:t>
      </w:r>
    </w:p>
    <w:p w14:paraId="4AE03A1E">
      <w:pPr>
        <w:spacing w:line="360" w:lineRule="auto"/>
        <w:ind w:left="13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>要求:摇表电压等级 500V,绝缘电阻应不小于 20兆欧（其中“1”代表机壳）。</w:t>
      </w:r>
    </w:p>
    <w:tbl>
      <w:tblPr>
        <w:tblStyle w:val="5"/>
        <w:tblW w:w="8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567"/>
        <w:gridCol w:w="1506"/>
      </w:tblGrid>
      <w:tr w14:paraId="21A8F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550279B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4567" w:type="dxa"/>
            <w:noWrap w:val="0"/>
            <w:vAlign w:val="center"/>
          </w:tcPr>
          <w:p w14:paraId="5AD51DB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1506" w:type="dxa"/>
            <w:noWrap w:val="0"/>
            <w:vAlign w:val="center"/>
          </w:tcPr>
          <w:p w14:paraId="57A2520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绝缘电阻</w:t>
            </w:r>
          </w:p>
        </w:tc>
      </w:tr>
      <w:tr w14:paraId="62440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2530F8F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4567" w:type="dxa"/>
            <w:noWrap w:val="0"/>
            <w:vAlign w:val="center"/>
          </w:tcPr>
          <w:p w14:paraId="42BA667A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交流电压电流输入回路端子――1；电流钳电流输入回路不做试验</w:t>
            </w:r>
          </w:p>
        </w:tc>
        <w:tc>
          <w:tcPr>
            <w:tcW w:w="1506" w:type="dxa"/>
            <w:noWrap w:val="0"/>
            <w:vAlign w:val="center"/>
          </w:tcPr>
          <w:p w14:paraId="4D07534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600兆欧</w:t>
            </w:r>
          </w:p>
        </w:tc>
      </w:tr>
    </w:tbl>
    <w:p w14:paraId="73C3A4D4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3.2.2.工频耐压试验（工频一分钟）</w:t>
      </w:r>
    </w:p>
    <w:p w14:paraId="5F1975CB">
      <w:pPr>
        <w:spacing w:line="360" w:lineRule="auto"/>
        <w:ind w:firstLine="422" w:firstLineChars="200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 xml:space="preserve">注意：做耐压试验前，必须将装置前面板，插件分面板上所有的紧固螺丝拧紧，保证其与外壳的可靠连接，整机做耐压试验。另在调试过程中若更换插件，则必须对相应的项目重新做耐压试验.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3292"/>
        <w:gridCol w:w="1155"/>
        <w:gridCol w:w="872"/>
        <w:gridCol w:w="1353"/>
      </w:tblGrid>
      <w:tr w14:paraId="75E67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56" w:type="dxa"/>
            <w:noWrap w:val="0"/>
            <w:vAlign w:val="center"/>
          </w:tcPr>
          <w:p w14:paraId="533499C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3292" w:type="dxa"/>
            <w:noWrap w:val="0"/>
            <w:vAlign w:val="center"/>
          </w:tcPr>
          <w:p w14:paraId="12A80A8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1155" w:type="dxa"/>
            <w:noWrap w:val="0"/>
            <w:vAlign w:val="center"/>
          </w:tcPr>
          <w:p w14:paraId="4F0948E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耐压水平</w:t>
            </w:r>
          </w:p>
        </w:tc>
        <w:tc>
          <w:tcPr>
            <w:tcW w:w="872" w:type="dxa"/>
            <w:noWrap w:val="0"/>
            <w:vAlign w:val="center"/>
          </w:tcPr>
          <w:p w14:paraId="7364533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353" w:type="dxa"/>
            <w:noWrap w:val="0"/>
            <w:vAlign w:val="center"/>
          </w:tcPr>
          <w:p w14:paraId="6076EE2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  注</w:t>
            </w:r>
          </w:p>
        </w:tc>
      </w:tr>
      <w:tr w14:paraId="452E4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56" w:type="dxa"/>
            <w:noWrap w:val="0"/>
            <w:vAlign w:val="center"/>
          </w:tcPr>
          <w:p w14:paraId="4ACBF79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3292" w:type="dxa"/>
            <w:noWrap w:val="0"/>
            <w:vAlign w:val="center"/>
          </w:tcPr>
          <w:p w14:paraId="1B3F50A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交流电压输入回路端子――1；</w:t>
            </w:r>
          </w:p>
          <w:p w14:paraId="4E5C668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电流钳电流输入回路不做试验</w:t>
            </w:r>
          </w:p>
        </w:tc>
        <w:tc>
          <w:tcPr>
            <w:tcW w:w="1155" w:type="dxa"/>
            <w:noWrap w:val="0"/>
            <w:vAlign w:val="center"/>
          </w:tcPr>
          <w:p w14:paraId="626EDF7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center"/>
          </w:tcPr>
          <w:p w14:paraId="3D019F0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0AAAF92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漏电流小于0.4mA</w:t>
            </w:r>
          </w:p>
        </w:tc>
      </w:tr>
    </w:tbl>
    <w:p w14:paraId="66DA44A2"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bCs/>
        </w:rPr>
        <w:t>3.3.电源适配器检查</w:t>
      </w:r>
    </w:p>
    <w:p w14:paraId="657F873D">
      <w:pPr>
        <w:spacing w:line="360" w:lineRule="auto"/>
        <w:ind w:left="132" w:leftChars="63" w:firstLine="420" w:firstLineChars="200"/>
        <w:rPr>
          <w:rFonts w:ascii="宋体" w:hAnsi="宋体"/>
          <w:b/>
        </w:rPr>
      </w:pPr>
      <w:r>
        <w:rPr>
          <w:rFonts w:hint="eastAsia" w:ascii="宋体" w:hAnsi="宋体"/>
        </w:rPr>
        <w:t>电源适配器接入，充电指示灯显示红色；充满显示绿色。</w:t>
      </w:r>
    </w:p>
    <w:p w14:paraId="73ADA2B3">
      <w:pPr>
        <w:spacing w:line="360" w:lineRule="auto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整项检查是否合格（√）</w:t>
      </w:r>
    </w:p>
    <w:p w14:paraId="37B664B1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3.4 4G通讯检查</w:t>
      </w:r>
    </w:p>
    <w:p w14:paraId="5739E22D">
      <w:pPr>
        <w:spacing w:line="360" w:lineRule="auto"/>
        <w:ind w:left="132" w:leftChars="63"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装置内置4G卡，上电后，应在装置信息中获取到4G网络IP。</w:t>
      </w:r>
    </w:p>
    <w:p w14:paraId="56C55498">
      <w:pPr>
        <w:spacing w:line="360" w:lineRule="auto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>）</w:t>
      </w:r>
    </w:p>
    <w:p w14:paraId="531F17D5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3.5 GPS对时检查</w:t>
      </w:r>
    </w:p>
    <w:p w14:paraId="4BB2272D">
      <w:pPr>
        <w:spacing w:line="360" w:lineRule="auto"/>
        <w:ind w:left="132" w:leftChars="63"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接入GPS天线后，装置能自动同步时间。</w:t>
      </w:r>
    </w:p>
    <w:p w14:paraId="3024DB41">
      <w:pPr>
        <w:spacing w:line="360" w:lineRule="auto"/>
        <w:jc w:val="right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>）</w:t>
      </w:r>
    </w:p>
    <w:p w14:paraId="2B01FE0F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装置整组测试</w:t>
      </w:r>
    </w:p>
    <w:p w14:paraId="6782E5F5">
      <w:pPr>
        <w:spacing w:line="360" w:lineRule="auto"/>
        <w:ind w:firstLine="425"/>
        <w:rPr>
          <w:rFonts w:hint="eastAsia" w:ascii="宋体" w:hAnsi="宋体"/>
        </w:rPr>
      </w:pPr>
      <w:r>
        <w:rPr>
          <w:rFonts w:hint="eastAsia" w:ascii="宋体" w:hAnsi="宋体"/>
        </w:rPr>
        <w:t>接通装置工作电源后，即可对装置进行整组测试。</w:t>
      </w:r>
    </w:p>
    <w:p w14:paraId="6684824E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4.1.采样检查</w:t>
      </w:r>
    </w:p>
    <w:p w14:paraId="0C42EF79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4.1.1.电流、电压有效值检查（数据见附表）</w:t>
      </w:r>
      <w:r>
        <w:rPr>
          <w:rFonts w:hint="eastAsia" w:ascii="宋体" w:hAnsi="宋体"/>
        </w:rPr>
        <w:t>（误差小于0.2％）。</w:t>
      </w:r>
    </w:p>
    <w:p w14:paraId="54629B6A">
      <w:pPr>
        <w:spacing w:line="360" w:lineRule="auto"/>
        <w:ind w:firstLine="315" w:firstLineChars="150"/>
        <w:rPr>
          <w:rFonts w:hint="eastAsia" w:ascii="宋体" w:hAnsi="宋体"/>
        </w:rPr>
      </w:pPr>
      <w:r>
        <w:rPr>
          <w:rFonts w:hint="eastAsia" w:ascii="宋体" w:hAnsi="宋体"/>
        </w:rPr>
        <w:t>按要求加量测试，在</w:t>
      </w:r>
      <w:r>
        <w:rPr>
          <w:rFonts w:hint="eastAsia" w:ascii="宋体" w:hAnsi="宋体"/>
          <w:bCs/>
        </w:rPr>
        <w:t>“实时数据”--- “有效值”菜单下检查</w:t>
      </w:r>
      <w:r>
        <w:rPr>
          <w:rFonts w:hint="eastAsia" w:ascii="宋体" w:hAnsi="宋体"/>
        </w:rPr>
        <w:t>各回路电压、电流：</w:t>
      </w:r>
    </w:p>
    <w:p w14:paraId="197324E6">
      <w:pPr>
        <w:spacing w:line="360" w:lineRule="auto"/>
        <w:ind w:firstLine="422" w:firstLineChars="200"/>
        <w:jc w:val="right"/>
        <w:rPr>
          <w:rFonts w:hint="eastAsia" w:ascii="宋体" w:hAnsi="宋体"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 xml:space="preserve"> √</w:t>
      </w:r>
      <w:r>
        <w:rPr>
          <w:rFonts w:hint="eastAsia" w:ascii="宋体" w:hAnsi="宋体"/>
          <w:b/>
        </w:rPr>
        <w:t>）</w:t>
      </w:r>
    </w:p>
    <w:p w14:paraId="5A2D4CA2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4.1.2.电压偏差检查（数据见附表）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229CE240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</w:t>
      </w:r>
      <w:r>
        <w:rPr>
          <w:rFonts w:hint="eastAsia" w:ascii="宋体" w:hAnsi="宋体"/>
          <w:bCs/>
        </w:rPr>
        <w:t>，</w:t>
      </w:r>
      <w:r>
        <w:rPr>
          <w:rFonts w:hint="eastAsia" w:ascii="宋体" w:hAnsi="宋体"/>
        </w:rPr>
        <w:t xml:space="preserve"> 计算实际电压偏差，</w:t>
      </w:r>
      <w:r>
        <w:rPr>
          <w:rFonts w:hint="eastAsia" w:ascii="宋体" w:hAnsi="宋体"/>
          <w:bCs/>
        </w:rPr>
        <w:t>用 “实时数据”--“有效值”菜单，检查</w:t>
      </w:r>
      <w:r>
        <w:rPr>
          <w:rFonts w:hint="eastAsia" w:ascii="宋体" w:hAnsi="宋体"/>
        </w:rPr>
        <w:t xml:space="preserve">装置电压偏差：                                      </w:t>
      </w:r>
    </w:p>
    <w:p w14:paraId="10593A55">
      <w:pPr>
        <w:spacing w:line="360" w:lineRule="auto"/>
        <w:ind w:firstLine="422" w:firstLineChars="200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>）</w:t>
      </w:r>
    </w:p>
    <w:p w14:paraId="2DCFC71D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4.1.3. 电压不平衡度检查（数据见附表）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21C78277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按附表要求装置施加电压, 计算实际电压不平衡度，</w:t>
      </w:r>
      <w:r>
        <w:rPr>
          <w:rFonts w:hint="eastAsia" w:ascii="宋体" w:hAnsi="宋体"/>
          <w:bCs/>
        </w:rPr>
        <w:t>用 “实时数据”--“</w:t>
      </w:r>
      <w:r>
        <w:rPr>
          <w:rFonts w:hint="eastAsia" w:ascii="宋体" w:hAnsi="宋体"/>
        </w:rPr>
        <w:t>不平衡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>装置电压不平衡度：</w:t>
      </w:r>
    </w:p>
    <w:p w14:paraId="2AEE1C7E">
      <w:pPr>
        <w:spacing w:line="360" w:lineRule="auto"/>
        <w:ind w:firstLine="422" w:firstLineChars="200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>）</w:t>
      </w:r>
    </w:p>
    <w:p w14:paraId="27322FDE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4.1.4. 谐波测量检查（数据见附表）</w:t>
      </w:r>
      <w:r>
        <w:rPr>
          <w:rFonts w:hint="eastAsia" w:ascii="宋体" w:hAnsi="宋体"/>
          <w:bCs/>
        </w:rPr>
        <w:t>(电压谐波误差要求小于</w:t>
      </w:r>
      <w:r>
        <w:rPr>
          <w:rFonts w:hint="eastAsia" w:ascii="宋体" w:hAnsi="宋体"/>
        </w:rPr>
        <w:t>0.05％UN,</w:t>
      </w:r>
      <w:r>
        <w:rPr>
          <w:rFonts w:hint="eastAsia" w:ascii="宋体" w:hAnsi="宋体"/>
          <w:bCs/>
        </w:rPr>
        <w:t xml:space="preserve"> 电流谐波误差要求小于</w:t>
      </w:r>
      <w:r>
        <w:rPr>
          <w:rFonts w:hint="eastAsia" w:ascii="宋体" w:hAnsi="宋体"/>
        </w:rPr>
        <w:t>0.15％IN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6A3ECD10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各组电压回路和电流回路分别按附表中要求加入信号。</w:t>
      </w:r>
      <w:r>
        <w:rPr>
          <w:rFonts w:hint="eastAsia" w:ascii="宋体" w:hAnsi="宋体"/>
          <w:bCs/>
        </w:rPr>
        <w:t>用 “实时数据”---“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>装置的谐波测量：</w:t>
      </w:r>
    </w:p>
    <w:p w14:paraId="2B27FA53">
      <w:pPr>
        <w:spacing w:line="360" w:lineRule="auto"/>
        <w:ind w:firstLine="422" w:firstLineChars="200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>）</w:t>
      </w:r>
    </w:p>
    <w:p w14:paraId="77F21699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4.1.5.频率检查（数据见附表）</w:t>
      </w:r>
      <w:r>
        <w:rPr>
          <w:rFonts w:hint="eastAsia" w:ascii="宋体" w:hAnsi="宋体"/>
          <w:bCs/>
        </w:rPr>
        <w:t>（误差小于0.005</w:t>
      </w:r>
      <w:r>
        <w:rPr>
          <w:rFonts w:hint="eastAsia"/>
        </w:rPr>
        <w:t xml:space="preserve"> Hz</w:t>
      </w:r>
      <w:r>
        <w:rPr>
          <w:rFonts w:hint="eastAsia" w:ascii="宋体" w:hAnsi="宋体"/>
          <w:bCs/>
        </w:rPr>
        <w:t>）。</w:t>
      </w:r>
    </w:p>
    <w:p w14:paraId="24E9AABA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按附表中要求施加电压频率，用 “实时数据”--“频率”菜单检查装置频率</w:t>
      </w:r>
      <w:r>
        <w:rPr>
          <w:rFonts w:hint="eastAsia" w:ascii="宋体" w:hAnsi="宋体"/>
        </w:rPr>
        <w:t>：</w:t>
      </w:r>
      <w:r>
        <w:rPr>
          <w:rFonts w:hint="eastAsia" w:ascii="宋体" w:hAnsi="宋体"/>
          <w:bCs/>
        </w:rPr>
        <w:t xml:space="preserve"> </w:t>
      </w:r>
    </w:p>
    <w:p w14:paraId="4F1E1541">
      <w:pPr>
        <w:spacing w:line="360" w:lineRule="auto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>）</w:t>
      </w:r>
    </w:p>
    <w:p w14:paraId="7F08065E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4.1.6.间谐波数据检查</w:t>
      </w:r>
      <w:r>
        <w:rPr>
          <w:rFonts w:hint="eastAsia" w:ascii="宋体" w:hAnsi="宋体"/>
        </w:rPr>
        <w:t>(电压谐波误差小于0.05％UN, 电流谐波误差小于0.15％IN)。</w:t>
      </w:r>
    </w:p>
    <w:p w14:paraId="75D2038F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装置按附表中要求施加电压电流</w:t>
      </w:r>
      <w:r>
        <w:rPr>
          <w:rFonts w:hint="eastAsia" w:ascii="宋体" w:hAnsi="宋体"/>
          <w:bCs/>
        </w:rPr>
        <w:t>, 用 “实时数据”--“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</w:t>
      </w:r>
      <w:r>
        <w:rPr>
          <w:rFonts w:hint="eastAsia" w:ascii="宋体" w:hAnsi="宋体"/>
        </w:rPr>
        <w:t>检查装置的间谐波测量：</w:t>
      </w:r>
    </w:p>
    <w:p w14:paraId="06FC16C9">
      <w:pPr>
        <w:spacing w:line="360" w:lineRule="auto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>）</w:t>
      </w:r>
    </w:p>
    <w:p w14:paraId="7804FFA6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4.2.网络通讯检查</w:t>
      </w:r>
    </w:p>
    <w:p w14:paraId="240866D3">
      <w:pPr>
        <w:spacing w:line="360" w:lineRule="auto"/>
        <w:ind w:firstLine="42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（1）将装置的以太网口和计算机的网口通过网络线连接，在计算机上使用“ping”命令对装置的以太网进行检查，装置的以太网地址默认为“192.168.1.200”。根据检查结果填写下表。</w:t>
      </w:r>
    </w:p>
    <w:p w14:paraId="0E25048E">
      <w:pPr>
        <w:spacing w:line="360" w:lineRule="auto"/>
        <w:ind w:firstLine="42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（2）在装置的无线WIFI模块配置完成后，将计算机的无线网络连接到装置的无线接入点，在计算机上使用“ping”命令对装置的无线WIFI模块进行检查，装置的IP地址默认为“192.168.2.200”。根据检查结果填写下表。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3410"/>
        <w:gridCol w:w="3410"/>
      </w:tblGrid>
      <w:tr w14:paraId="2B7E3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17" w:type="dxa"/>
            <w:gridSpan w:val="3"/>
            <w:noWrap w:val="0"/>
            <w:vAlign w:val="center"/>
          </w:tcPr>
          <w:p w14:paraId="1E1A598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装置网络通讯检查卡</w:t>
            </w:r>
          </w:p>
        </w:tc>
      </w:tr>
      <w:tr w14:paraId="2D036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7" w:type="dxa"/>
            <w:noWrap w:val="0"/>
            <w:vAlign w:val="center"/>
          </w:tcPr>
          <w:p w14:paraId="5890856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通道名称</w:t>
            </w:r>
          </w:p>
        </w:tc>
        <w:tc>
          <w:tcPr>
            <w:tcW w:w="3410" w:type="dxa"/>
            <w:noWrap w:val="0"/>
            <w:vAlign w:val="center"/>
          </w:tcPr>
          <w:p w14:paraId="7350CB5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</w:t>
            </w:r>
          </w:p>
        </w:tc>
        <w:tc>
          <w:tcPr>
            <w:tcW w:w="3410" w:type="dxa"/>
            <w:noWrap w:val="0"/>
            <w:vAlign w:val="center"/>
          </w:tcPr>
          <w:p w14:paraId="5A3B2E6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无线WIFI</w:t>
            </w:r>
          </w:p>
        </w:tc>
      </w:tr>
      <w:tr w14:paraId="2637C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7" w:type="dxa"/>
            <w:noWrap w:val="0"/>
            <w:vAlign w:val="center"/>
          </w:tcPr>
          <w:p w14:paraId="0671C69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  <w:tc>
          <w:tcPr>
            <w:tcW w:w="3410" w:type="dxa"/>
            <w:noWrap w:val="0"/>
            <w:vAlign w:val="center"/>
          </w:tcPr>
          <w:p w14:paraId="712EFFE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3410" w:type="dxa"/>
            <w:noWrap w:val="0"/>
            <w:vAlign w:val="center"/>
          </w:tcPr>
          <w:p w14:paraId="28C93DE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224E208B">
      <w:pPr>
        <w:spacing w:line="360" w:lineRule="auto"/>
        <w:rPr>
          <w:rFonts w:hint="eastAsia" w:ascii="宋体" w:hAnsi="宋体"/>
          <w:b/>
        </w:rPr>
      </w:pPr>
    </w:p>
    <w:p w14:paraId="419F009F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4.3.历史数据记录情况检查</w:t>
      </w:r>
    </w:p>
    <w:p w14:paraId="041651E6">
      <w:pPr>
        <w:spacing w:line="360" w:lineRule="auto"/>
        <w:ind w:firstLine="525" w:firstLineChars="25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在完成以上调试内容后，通过分析软件读取装置中所存的历史数据，检查一下这些历史数据的记录情况，必须保证装置中历史数据的记录是完整的。</w:t>
      </w:r>
    </w:p>
    <w:p w14:paraId="196FE7B0">
      <w:pPr>
        <w:spacing w:line="360" w:lineRule="auto"/>
        <w:ind w:firstLine="405"/>
        <w:rPr>
          <w:rFonts w:hint="eastAsia" w:ascii="宋体" w:hAnsi="宋体"/>
        </w:rPr>
      </w:pPr>
      <w:r>
        <w:rPr>
          <w:rFonts w:hint="eastAsia" w:ascii="宋体" w:hAnsi="宋体"/>
          <w:bCs/>
        </w:rPr>
        <w:t>另外，在完成所有调试工作后，要将装置数据存储器中的数据清空。</w:t>
      </w:r>
      <w:r>
        <w:rPr>
          <w:rFonts w:hint="eastAsia" w:ascii="宋体" w:hAnsi="宋体"/>
        </w:rPr>
        <w:t xml:space="preserve">  </w:t>
      </w:r>
    </w:p>
    <w:p w14:paraId="0063BD77">
      <w:pPr>
        <w:spacing w:line="360" w:lineRule="auto"/>
        <w:ind w:firstLine="420"/>
        <w:jc w:val="right"/>
        <w:rPr>
          <w:rFonts w:hint="eastAsia" w:ascii="宋体" w:hAnsi="宋体"/>
          <w:bCs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>）</w:t>
      </w:r>
    </w:p>
    <w:p w14:paraId="2801D84C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4.4.</w:t>
      </w:r>
      <w:r>
        <w:rPr>
          <w:rFonts w:hint="eastAsia" w:ascii="宋体" w:hAnsi="宋体"/>
          <w:bCs/>
        </w:rPr>
        <w:t xml:space="preserve"> </w:t>
      </w:r>
      <w:r>
        <w:rPr>
          <w:rFonts w:hint="eastAsia" w:ascii="宋体" w:hAnsi="宋体"/>
          <w:b/>
        </w:rPr>
        <w:t>数字化功能检查</w:t>
      </w:r>
    </w:p>
    <w:p w14:paraId="1B925E0A">
      <w:pPr>
        <w:spacing w:line="36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/>
        </w:rPr>
        <w:t xml:space="preserve">     </w:t>
      </w:r>
      <w:r>
        <w:rPr>
          <w:rFonts w:hint="eastAsia" w:ascii="宋体" w:hAnsi="宋体"/>
          <w:bCs/>
        </w:rPr>
        <w:t>装置具备数字化功能，8000软件中更改数字化配置，使用883MU功能，883加量应能在500液晶屏显示相应模拟量。</w:t>
      </w:r>
    </w:p>
    <w:p w14:paraId="08E99FDD">
      <w:pPr>
        <w:spacing w:line="360" w:lineRule="auto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>）</w:t>
      </w:r>
    </w:p>
    <w:p w14:paraId="18BEEE8A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4.5. USB接口检查</w:t>
      </w:r>
    </w:p>
    <w:p w14:paraId="0E5435E9">
      <w:pPr>
        <w:spacing w:line="36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/>
        </w:rPr>
        <w:t xml:space="preserve">     </w:t>
      </w:r>
      <w:r>
        <w:rPr>
          <w:rFonts w:hint="eastAsia" w:ascii="宋体" w:hAnsi="宋体"/>
          <w:bCs/>
        </w:rPr>
        <w:t>装置USB口应能正常识别U盘，应在FTP工具中体现。</w:t>
      </w:r>
    </w:p>
    <w:p w14:paraId="5B33B4E3">
      <w:pPr>
        <w:spacing w:line="360" w:lineRule="auto"/>
        <w:jc w:val="right"/>
        <w:rPr>
          <w:rFonts w:ascii="宋体" w:hAnsi="宋体"/>
          <w:bCs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>）</w:t>
      </w:r>
    </w:p>
    <w:p w14:paraId="53470E8B">
      <w:pPr>
        <w:spacing w:line="360" w:lineRule="auto"/>
        <w:outlineLvl w:val="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4.6．装置通电老化</w:t>
      </w:r>
    </w:p>
    <w:p w14:paraId="581D4D03">
      <w:pPr>
        <w:spacing w:line="360" w:lineRule="auto"/>
        <w:ind w:left="132"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装置调试完毕后，需要进行常温下不少于100小时的通电老化。通电老化过程中及完成后，要注意观察装置运行状态是否正常，对于运行不正常的装置要查找原因，重新进行调试，并且调试完成后进行再次的通电老化，只有完成通电老化后一切正常的装置才能够进入成品库房。</w:t>
      </w:r>
    </w:p>
    <w:p w14:paraId="7949F351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</w:p>
    <w:p w14:paraId="7E4B4962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</w:p>
    <w:p w14:paraId="3803F060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装置版本号检查：</w:t>
      </w:r>
    </w:p>
    <w:p w14:paraId="3DBA9FC3">
      <w:pPr>
        <w:spacing w:line="360" w:lineRule="auto"/>
        <w:rPr>
          <w:rFonts w:hint="eastAsia" w:ascii="宋体" w:hAnsi="宋体"/>
          <w:b/>
          <w:bCs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1992"/>
        <w:gridCol w:w="1844"/>
        <w:gridCol w:w="1842"/>
      </w:tblGrid>
      <w:tr w14:paraId="3066B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94" w:type="dxa"/>
            <w:noWrap w:val="0"/>
            <w:vAlign w:val="center"/>
          </w:tcPr>
          <w:p w14:paraId="0E4CC33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应用软件版本号</w:t>
            </w:r>
          </w:p>
        </w:tc>
        <w:tc>
          <w:tcPr>
            <w:tcW w:w="1992" w:type="dxa"/>
            <w:noWrap w:val="0"/>
            <w:vAlign w:val="center"/>
          </w:tcPr>
          <w:p w14:paraId="76DFB304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844" w:type="dxa"/>
            <w:noWrap w:val="0"/>
            <w:vAlign w:val="center"/>
          </w:tcPr>
          <w:p w14:paraId="3AC2EEA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B</w:t>
            </w:r>
            <w:r>
              <w:rPr>
                <w:rFonts w:hint="eastAsia" w:ascii="宋体" w:hAnsi="宋体"/>
                <w:sz w:val="24"/>
                <w:szCs w:val="24"/>
              </w:rPr>
              <w:t>oot版本号</w:t>
            </w:r>
          </w:p>
        </w:tc>
        <w:tc>
          <w:tcPr>
            <w:tcW w:w="1842" w:type="dxa"/>
            <w:noWrap w:val="0"/>
            <w:vAlign w:val="center"/>
          </w:tcPr>
          <w:p w14:paraId="1EC870DC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501D5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30FD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FPGA版本号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E3FD6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2669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B2ADB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</w:tbl>
    <w:p w14:paraId="00998FF2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</w:t>
      </w:r>
    </w:p>
    <w:p w14:paraId="06C4B9F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</w:rPr>
        <w:t xml:space="preserve">                                                </w:t>
      </w:r>
      <w:r>
        <w:rPr>
          <w:rFonts w:hint="eastAsia" w:ascii="宋体" w:hAnsi="宋体"/>
          <w:sz w:val="28"/>
          <w:szCs w:val="28"/>
        </w:rPr>
        <w:t xml:space="preserve">  附表：共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${count}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张 </w:t>
      </w:r>
    </w:p>
    <w:p w14:paraId="03DE6E21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60A2244F"/>
    <w:p w14:paraId="03C4B435"/>
    <w:p w14:paraId="45DCF758"/>
    <w:p w14:paraId="65EC1FAF"/>
    <w:p w14:paraId="07389F54"/>
    <w:p w14:paraId="263F0586"/>
    <w:p w14:paraId="0A223F17"/>
    <w:p w14:paraId="36B48D1B"/>
    <w:p w14:paraId="41787D3B"/>
    <w:p w14:paraId="737794CA"/>
    <w:p w14:paraId="1015F2FF"/>
    <w:p w14:paraId="4EF899DF"/>
    <w:p w14:paraId="290067F7"/>
    <w:p w14:paraId="1D826CE3"/>
    <w:p w14:paraId="77DBA569"/>
    <w:p w14:paraId="7A6B9911"/>
    <w:p w14:paraId="71E7AADB"/>
    <w:p w14:paraId="790CA5CB"/>
    <w:p w14:paraId="2F7A4345"/>
    <w:p w14:paraId="290BFCBB"/>
    <w:p w14:paraId="439176DA"/>
    <w:p w14:paraId="0FB62F4D"/>
    <w:p w14:paraId="634E71E0"/>
    <w:p w14:paraId="6AD041E3"/>
    <w:p w14:paraId="337D5C81"/>
    <w:p w14:paraId="0C635102"/>
    <w:p w14:paraId="47635999"/>
    <w:p w14:paraId="2346651B"/>
    <w:p w14:paraId="26940AEC"/>
    <w:p w14:paraId="4A667A8E"/>
    <w:p w14:paraId="633BCB7E"/>
    <w:p w14:paraId="0591C45E"/>
    <w:sectPr>
      <w:footerReference r:id="rId5" w:type="default"/>
      <w:pgSz w:w="11906" w:h="16838"/>
      <w:pgMar w:top="624" w:right="1797" w:bottom="624" w:left="1797" w:header="0" w:footer="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3E18C">
    <w:pPr>
      <w:pStyle w:val="3"/>
      <w:framePr w:wrap="around" w:vAnchor="text" w:hAnchor="margin" w:xAlign="center" w:y="1"/>
      <w:jc w:val="center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 w14:paraId="714E691F">
    <w:pPr>
      <w:pStyle w:val="3"/>
      <w:framePr w:wrap="around" w:vAnchor="text" w:hAnchor="margin" w:xAlign="center" w:y="1"/>
      <w:rPr>
        <w:rStyle w:val="7"/>
      </w:rPr>
    </w:pPr>
  </w:p>
  <w:p w14:paraId="00626BC1"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B0146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5DDC989C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5727F">
    <w:pPr>
      <w:pStyle w:val="3"/>
      <w:framePr w:wrap="around" w:vAnchor="text" w:hAnchor="margin" w:xAlign="center" w:y="1"/>
      <w:jc w:val="center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t>5</w:t>
    </w:r>
    <w:r>
      <w:fldChar w:fldCharType="end"/>
    </w:r>
  </w:p>
  <w:p w14:paraId="647A83DD">
    <w:pPr>
      <w:pStyle w:val="3"/>
      <w:framePr w:wrap="around" w:vAnchor="text" w:hAnchor="margin" w:xAlign="center" w:y="1"/>
      <w:rPr>
        <w:rStyle w:val="7"/>
      </w:rPr>
    </w:pPr>
  </w:p>
  <w:p w14:paraId="72D6E62A">
    <w:pPr>
      <w:pStyle w:val="3"/>
      <w:ind w:right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japaneseCounting"/>
      <w:lvlText w:val="第%1节"/>
      <w:lvlJc w:val="left"/>
      <w:pPr>
        <w:tabs>
          <w:tab w:val="left" w:pos="3630"/>
        </w:tabs>
        <w:ind w:left="3630" w:hanging="11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75992"/>
    <w:rsid w:val="02E73D6A"/>
    <w:rsid w:val="052E3AB6"/>
    <w:rsid w:val="060610AB"/>
    <w:rsid w:val="07BB12ED"/>
    <w:rsid w:val="07D750A4"/>
    <w:rsid w:val="08660E97"/>
    <w:rsid w:val="0B7078E0"/>
    <w:rsid w:val="0D4728C2"/>
    <w:rsid w:val="1C6B67EA"/>
    <w:rsid w:val="1CE35E40"/>
    <w:rsid w:val="24E32A79"/>
    <w:rsid w:val="26D46B1D"/>
    <w:rsid w:val="278E3170"/>
    <w:rsid w:val="27F65D16"/>
    <w:rsid w:val="2AE86ABE"/>
    <w:rsid w:val="2AFE685E"/>
    <w:rsid w:val="36840C98"/>
    <w:rsid w:val="375D38D6"/>
    <w:rsid w:val="3AA06FEA"/>
    <w:rsid w:val="41F30347"/>
    <w:rsid w:val="47495932"/>
    <w:rsid w:val="4AB63AFD"/>
    <w:rsid w:val="4E626420"/>
    <w:rsid w:val="4F217C2D"/>
    <w:rsid w:val="513C641F"/>
    <w:rsid w:val="55282DE0"/>
    <w:rsid w:val="56521689"/>
    <w:rsid w:val="565A053D"/>
    <w:rsid w:val="5C0D42B2"/>
    <w:rsid w:val="5E9F742E"/>
    <w:rsid w:val="600D6620"/>
    <w:rsid w:val="6098238E"/>
    <w:rsid w:val="614147D4"/>
    <w:rsid w:val="623C76A5"/>
    <w:rsid w:val="6280132C"/>
    <w:rsid w:val="628726BA"/>
    <w:rsid w:val="629923ED"/>
    <w:rsid w:val="62C70D09"/>
    <w:rsid w:val="65711400"/>
    <w:rsid w:val="65F00576"/>
    <w:rsid w:val="669C24AC"/>
    <w:rsid w:val="694330B3"/>
    <w:rsid w:val="6A4F6E29"/>
    <w:rsid w:val="6FDE77C3"/>
    <w:rsid w:val="7113780F"/>
    <w:rsid w:val="72185C50"/>
    <w:rsid w:val="73CA7DC7"/>
    <w:rsid w:val="75D658F5"/>
    <w:rsid w:val="76F13C7D"/>
    <w:rsid w:val="79FA5A10"/>
    <w:rsid w:val="7BA21EBB"/>
    <w:rsid w:val="7F160B21"/>
    <w:rsid w:val="7F70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华文中宋" w:hAnsi="华文中宋" w:eastAsia="华文中宋"/>
      <w:b/>
      <w:bC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2297</Words>
  <Characters>2583</Characters>
  <Lines>0</Lines>
  <Paragraphs>0</Paragraphs>
  <TotalTime>0</TotalTime>
  <ScaleCrop>false</ScaleCrop>
  <LinksUpToDate>false</LinksUpToDate>
  <CharactersWithSpaces>2753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2025-02-13T07:04:00Z</dcterms:created>
  <dc:creator>hongawen</dc:creator>
  <cp:lastModifiedBy>ccvv</cp:lastModifiedBy>
  <dcterms:modified xsi:type="dcterms:W3CDTF">2025-12-19T08:16:22Z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eyJoZGlkIjoiN2VlNzVlOGFiM2IxOTg4YzcyYzIzMWZlZGRkY2VjZDEifQ==</vt:lpwstr>
  </property>
  <property fmtid="{D5CDD505-2E9C-101B-9397-08002B2CF9AE}" pid="4" name="ICV">
    <vt:lpwstr>F6072F2BE5AF42618BF4AA4352822BB1_12</vt:lpwstr>
  </property>
</Properties>
</file>